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AA670A" w14:textId="77777777" w:rsidR="00C56CD1" w:rsidRDefault="00C56CD1">
      <w:pPr>
        <w:pStyle w:val="normal0"/>
        <w:spacing w:line="276" w:lineRule="auto"/>
        <w:ind w:left="90"/>
        <w:rPr>
          <w:rFonts w:ascii="Muli" w:eastAsia="Muli" w:hAnsi="Muli" w:cs="Muli"/>
          <w:sz w:val="20"/>
          <w:szCs w:val="20"/>
        </w:rPr>
      </w:pPr>
    </w:p>
    <w:tbl>
      <w:tblPr>
        <w:tblStyle w:val="a"/>
        <w:tblW w:w="139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3900"/>
      </w:tblGrid>
      <w:tr w:rsidR="00C56CD1" w14:paraId="00AF1B29" w14:textId="77777777" w:rsidTr="00A67DBC">
        <w:trPr>
          <w:trHeight w:val="620"/>
        </w:trPr>
        <w:tc>
          <w:tcPr>
            <w:tcW w:w="13900" w:type="dxa"/>
            <w:shd w:val="clear" w:color="auto" w:fill="2F5496"/>
          </w:tcPr>
          <w:p w14:paraId="2D3FB929" w14:textId="77777777" w:rsidR="00C56CD1" w:rsidRDefault="00DA00BA">
            <w:pPr>
              <w:pStyle w:val="normal0"/>
              <w:spacing w:before="222"/>
              <w:ind w:left="90"/>
              <w:rPr>
                <w:rFonts w:ascii="Muli" w:eastAsia="Muli" w:hAnsi="Muli" w:cs="Muli"/>
                <w:b/>
                <w:color w:val="FFFFFF"/>
                <w:sz w:val="24"/>
                <w:szCs w:val="24"/>
              </w:rPr>
            </w:pPr>
            <w:r>
              <w:rPr>
                <w:rFonts w:ascii="Muli" w:eastAsia="Muli" w:hAnsi="Muli" w:cs="Muli"/>
                <w:b/>
                <w:color w:val="FFFFFF"/>
                <w:sz w:val="24"/>
                <w:szCs w:val="24"/>
              </w:rPr>
              <w:t>Designed for the NGSS: Foundations Teacher Support Evidence Chart</w:t>
            </w:r>
          </w:p>
        </w:tc>
      </w:tr>
    </w:tbl>
    <w:p w14:paraId="58B1AF63" w14:textId="77777777" w:rsidR="00C56CD1" w:rsidRDefault="00C56CD1">
      <w:pPr>
        <w:pStyle w:val="normal0"/>
        <w:pBdr>
          <w:top w:val="nil"/>
          <w:left w:val="nil"/>
          <w:bottom w:val="nil"/>
          <w:right w:val="nil"/>
          <w:between w:val="nil"/>
        </w:pBdr>
        <w:spacing w:before="6" w:after="1"/>
        <w:ind w:left="90"/>
        <w:rPr>
          <w:rFonts w:ascii="Muli" w:eastAsia="Muli" w:hAnsi="Muli" w:cs="Muli"/>
          <w:color w:val="000000"/>
        </w:rPr>
      </w:pPr>
    </w:p>
    <w:tbl>
      <w:tblPr>
        <w:tblStyle w:val="a0"/>
        <w:tblW w:w="13888"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87"/>
        <w:gridCol w:w="1079"/>
        <w:gridCol w:w="1261"/>
        <w:gridCol w:w="1261"/>
      </w:tblGrid>
      <w:tr w:rsidR="00C56CD1" w14:paraId="0DA991F8" w14:textId="77777777">
        <w:trPr>
          <w:trHeight w:val="280"/>
        </w:trPr>
        <w:tc>
          <w:tcPr>
            <w:tcW w:w="10288" w:type="dxa"/>
            <w:shd w:val="clear" w:color="auto" w:fill="FF126D"/>
            <w:tcMar>
              <w:top w:w="99" w:type="dxa"/>
              <w:left w:w="99" w:type="dxa"/>
              <w:bottom w:w="99" w:type="dxa"/>
              <w:right w:w="99" w:type="dxa"/>
            </w:tcMar>
          </w:tcPr>
          <w:p w14:paraId="33A24B59" w14:textId="77777777" w:rsidR="00C56CD1" w:rsidRDefault="00DA00BA">
            <w:pPr>
              <w:pStyle w:val="normal0"/>
              <w:spacing w:before="27"/>
              <w:ind w:left="90"/>
              <w:rPr>
                <w:rFonts w:ascii="Muli" w:eastAsia="Muli" w:hAnsi="Muli" w:cs="Muli"/>
                <w:sz w:val="20"/>
                <w:szCs w:val="20"/>
              </w:rPr>
            </w:pPr>
            <w:r>
              <w:rPr>
                <w:rFonts w:ascii="Muli" w:eastAsia="Muli" w:hAnsi="Muli" w:cs="Muli"/>
                <w:color w:val="FFFFFF"/>
                <w:sz w:val="20"/>
                <w:szCs w:val="20"/>
              </w:rPr>
              <w:t>Teacher materials…</w:t>
            </w:r>
          </w:p>
        </w:tc>
        <w:tc>
          <w:tcPr>
            <w:tcW w:w="1079" w:type="dxa"/>
            <w:shd w:val="clear" w:color="auto" w:fill="FF126D"/>
            <w:tcMar>
              <w:top w:w="99" w:type="dxa"/>
              <w:left w:w="99" w:type="dxa"/>
              <w:bottom w:w="99" w:type="dxa"/>
              <w:right w:w="99" w:type="dxa"/>
            </w:tcMar>
          </w:tcPr>
          <w:p w14:paraId="7431673A" w14:textId="77777777" w:rsidR="00C56CD1" w:rsidRDefault="00DA00BA">
            <w:pPr>
              <w:pStyle w:val="normal0"/>
              <w:spacing w:before="27"/>
              <w:ind w:left="90"/>
              <w:jc w:val="center"/>
              <w:rPr>
                <w:rFonts w:ascii="Muli" w:eastAsia="Muli" w:hAnsi="Muli" w:cs="Muli"/>
                <w:sz w:val="20"/>
                <w:szCs w:val="20"/>
              </w:rPr>
            </w:pPr>
            <w:r>
              <w:rPr>
                <w:rFonts w:ascii="Muli" w:eastAsia="Muli" w:hAnsi="Muli" w:cs="Muli"/>
                <w:color w:val="FFFFFF"/>
                <w:sz w:val="20"/>
                <w:szCs w:val="20"/>
              </w:rPr>
              <w:t>Strong</w:t>
            </w:r>
          </w:p>
        </w:tc>
        <w:tc>
          <w:tcPr>
            <w:tcW w:w="1261" w:type="dxa"/>
            <w:shd w:val="clear" w:color="auto" w:fill="FF126D"/>
            <w:tcMar>
              <w:top w:w="99" w:type="dxa"/>
              <w:left w:w="99" w:type="dxa"/>
              <w:bottom w:w="99" w:type="dxa"/>
              <w:right w:w="99" w:type="dxa"/>
            </w:tcMar>
          </w:tcPr>
          <w:p w14:paraId="26520A5E" w14:textId="77777777" w:rsidR="00C56CD1" w:rsidRDefault="00DA00BA">
            <w:pPr>
              <w:pStyle w:val="normal0"/>
              <w:spacing w:before="27"/>
              <w:ind w:left="90"/>
              <w:jc w:val="center"/>
              <w:rPr>
                <w:rFonts w:ascii="Muli" w:eastAsia="Muli" w:hAnsi="Muli" w:cs="Muli"/>
                <w:sz w:val="20"/>
                <w:szCs w:val="20"/>
              </w:rPr>
            </w:pPr>
            <w:r>
              <w:rPr>
                <w:rFonts w:ascii="Muli" w:eastAsia="Muli" w:hAnsi="Muli" w:cs="Muli"/>
                <w:color w:val="FFFFFF"/>
                <w:sz w:val="20"/>
                <w:szCs w:val="20"/>
              </w:rPr>
              <w:t>Adequate</w:t>
            </w:r>
          </w:p>
        </w:tc>
        <w:tc>
          <w:tcPr>
            <w:tcW w:w="1261" w:type="dxa"/>
            <w:shd w:val="clear" w:color="auto" w:fill="FF126D"/>
            <w:tcMar>
              <w:top w:w="99" w:type="dxa"/>
              <w:left w:w="99" w:type="dxa"/>
              <w:bottom w:w="99" w:type="dxa"/>
              <w:right w:w="99" w:type="dxa"/>
            </w:tcMar>
          </w:tcPr>
          <w:p w14:paraId="34647A03" w14:textId="77777777" w:rsidR="00C56CD1" w:rsidRDefault="00DA00BA">
            <w:pPr>
              <w:pStyle w:val="normal0"/>
              <w:spacing w:before="1"/>
              <w:ind w:left="90"/>
              <w:jc w:val="center"/>
              <w:rPr>
                <w:rFonts w:ascii="Muli" w:eastAsia="Muli" w:hAnsi="Muli" w:cs="Muli"/>
                <w:sz w:val="20"/>
                <w:szCs w:val="20"/>
              </w:rPr>
            </w:pPr>
            <w:r>
              <w:rPr>
                <w:rFonts w:ascii="Muli" w:eastAsia="Muli" w:hAnsi="Muli" w:cs="Muli"/>
                <w:color w:val="FFFFFF"/>
                <w:sz w:val="20"/>
                <w:szCs w:val="20"/>
              </w:rPr>
              <w:t>Weak</w:t>
            </w:r>
          </w:p>
        </w:tc>
      </w:tr>
      <w:tr w:rsidR="00C56CD1" w14:paraId="1AC68866" w14:textId="77777777">
        <w:trPr>
          <w:trHeight w:val="580"/>
        </w:trPr>
        <w:tc>
          <w:tcPr>
            <w:tcW w:w="10288" w:type="dxa"/>
            <w:tcMar>
              <w:top w:w="99" w:type="dxa"/>
              <w:left w:w="99" w:type="dxa"/>
              <w:bottom w:w="99" w:type="dxa"/>
              <w:right w:w="99" w:type="dxa"/>
            </w:tcMar>
          </w:tcPr>
          <w:p w14:paraId="3D519882" w14:textId="77777777" w:rsidR="00C56CD1" w:rsidRDefault="00DA00BA">
            <w:pPr>
              <w:pStyle w:val="normal0"/>
              <w:pBdr>
                <w:top w:val="nil"/>
                <w:left w:val="nil"/>
                <w:bottom w:val="nil"/>
                <w:right w:val="nil"/>
                <w:between w:val="nil"/>
              </w:pBdr>
              <w:spacing w:before="1"/>
              <w:ind w:left="90" w:right="305"/>
              <w:rPr>
                <w:rFonts w:ascii="Muli" w:eastAsia="Muli" w:hAnsi="Muli" w:cs="Muli"/>
                <w:color w:val="000000"/>
                <w:sz w:val="20"/>
                <w:szCs w:val="20"/>
              </w:rPr>
            </w:pPr>
            <w:r>
              <w:rPr>
                <w:rFonts w:ascii="Muli" w:eastAsia="Muli" w:hAnsi="Muli" w:cs="Muli"/>
                <w:b/>
                <w:color w:val="000000"/>
                <w:sz w:val="20"/>
                <w:szCs w:val="20"/>
              </w:rPr>
              <w:t xml:space="preserve">F1. Presence of Phenomena/Problems. </w:t>
            </w:r>
            <w:r>
              <w:rPr>
                <w:rFonts w:ascii="Muli" w:eastAsia="Muli" w:hAnsi="Muli" w:cs="Muli"/>
                <w:color w:val="000000"/>
                <w:sz w:val="20"/>
                <w:szCs w:val="20"/>
              </w:rPr>
              <w:t>Identify and provide background information about the phenomena/problems in the unit and how they match the targeted learning goals.</w:t>
            </w:r>
          </w:p>
        </w:tc>
        <w:tc>
          <w:tcPr>
            <w:tcW w:w="1079" w:type="dxa"/>
            <w:tcMar>
              <w:top w:w="99" w:type="dxa"/>
              <w:left w:w="99" w:type="dxa"/>
              <w:bottom w:w="99" w:type="dxa"/>
              <w:right w:w="99" w:type="dxa"/>
            </w:tcMar>
          </w:tcPr>
          <w:p w14:paraId="7E547CA7" w14:textId="77777777" w:rsidR="00C56CD1" w:rsidRDefault="00DA00BA">
            <w:pPr>
              <w:pStyle w:val="normal0"/>
              <w:ind w:left="90"/>
              <w:jc w:val="center"/>
              <w:rPr>
                <w:rFonts w:ascii="Muli" w:eastAsia="Muli" w:hAnsi="Muli" w:cs="Muli"/>
                <w:sz w:val="56"/>
                <w:szCs w:val="56"/>
              </w:rPr>
            </w:pPr>
            <w:r>
              <w:rPr>
                <w:rFonts w:ascii="Arial Unicode MS" w:eastAsia="Arial Unicode MS" w:hAnsi="Arial Unicode MS" w:cs="Arial Unicode MS"/>
                <w:color w:val="FF126D"/>
                <w:sz w:val="56"/>
                <w:szCs w:val="56"/>
              </w:rPr>
              <w:t>✓</w:t>
            </w:r>
          </w:p>
        </w:tc>
        <w:tc>
          <w:tcPr>
            <w:tcW w:w="1261" w:type="dxa"/>
            <w:tcMar>
              <w:top w:w="99" w:type="dxa"/>
              <w:left w:w="99" w:type="dxa"/>
              <w:bottom w:w="99" w:type="dxa"/>
              <w:right w:w="99" w:type="dxa"/>
            </w:tcMar>
          </w:tcPr>
          <w:p w14:paraId="0A3F132C" w14:textId="77777777" w:rsidR="00C56CD1" w:rsidRDefault="00C56CD1">
            <w:pPr>
              <w:pStyle w:val="normal0"/>
              <w:pBdr>
                <w:top w:val="nil"/>
                <w:left w:val="nil"/>
                <w:bottom w:val="nil"/>
                <w:right w:val="nil"/>
                <w:between w:val="nil"/>
              </w:pBdr>
              <w:ind w:left="90"/>
              <w:rPr>
                <w:rFonts w:ascii="Muli" w:eastAsia="Muli" w:hAnsi="Muli" w:cs="Muli"/>
                <w:color w:val="000000"/>
              </w:rPr>
            </w:pPr>
          </w:p>
        </w:tc>
        <w:tc>
          <w:tcPr>
            <w:tcW w:w="1261" w:type="dxa"/>
            <w:tcMar>
              <w:top w:w="99" w:type="dxa"/>
              <w:left w:w="99" w:type="dxa"/>
              <w:bottom w:w="99" w:type="dxa"/>
              <w:right w:w="99" w:type="dxa"/>
            </w:tcMar>
          </w:tcPr>
          <w:p w14:paraId="30CF463E" w14:textId="77777777" w:rsidR="00C56CD1" w:rsidRDefault="00C56CD1">
            <w:pPr>
              <w:pStyle w:val="normal0"/>
              <w:pBdr>
                <w:top w:val="nil"/>
                <w:left w:val="nil"/>
                <w:bottom w:val="nil"/>
                <w:right w:val="nil"/>
                <w:between w:val="nil"/>
              </w:pBdr>
              <w:ind w:left="90"/>
              <w:rPr>
                <w:rFonts w:ascii="Muli" w:eastAsia="Muli" w:hAnsi="Muli" w:cs="Muli"/>
                <w:color w:val="000000"/>
              </w:rPr>
            </w:pPr>
          </w:p>
        </w:tc>
      </w:tr>
      <w:tr w:rsidR="00C56CD1" w14:paraId="4B88C8DB" w14:textId="77777777">
        <w:trPr>
          <w:trHeight w:val="295"/>
        </w:trPr>
        <w:tc>
          <w:tcPr>
            <w:tcW w:w="10288" w:type="dxa"/>
            <w:vMerge w:val="restart"/>
            <w:tcBorders>
              <w:bottom w:val="nil"/>
              <w:right w:val="nil"/>
            </w:tcBorders>
            <w:tcMar>
              <w:top w:w="99" w:type="dxa"/>
              <w:left w:w="99" w:type="dxa"/>
              <w:bottom w:w="99" w:type="dxa"/>
              <w:right w:w="99" w:type="dxa"/>
            </w:tcMar>
          </w:tcPr>
          <w:p w14:paraId="4D6B7CA8" w14:textId="77777777" w:rsidR="00C56CD1" w:rsidRDefault="00DA00BA">
            <w:pPr>
              <w:pStyle w:val="normal0"/>
              <w:pBdr>
                <w:top w:val="nil"/>
                <w:left w:val="nil"/>
                <w:bottom w:val="nil"/>
                <w:right w:val="nil"/>
                <w:between w:val="nil"/>
              </w:pBdr>
              <w:spacing w:before="1"/>
              <w:ind w:left="90" w:right="144"/>
              <w:rPr>
                <w:rFonts w:ascii="Muli" w:eastAsia="Muli" w:hAnsi="Muli" w:cs="Muli"/>
                <w:color w:val="000000"/>
                <w:sz w:val="20"/>
                <w:szCs w:val="20"/>
              </w:rPr>
            </w:pPr>
            <w:r>
              <w:rPr>
                <w:rFonts w:ascii="Muli" w:eastAsia="Muli" w:hAnsi="Muli" w:cs="Muli"/>
                <w:b/>
                <w:color w:val="000000"/>
                <w:sz w:val="20"/>
                <w:szCs w:val="20"/>
              </w:rPr>
              <w:t xml:space="preserve">F2. Presence of Three Dimensions. </w:t>
            </w:r>
            <w:r>
              <w:rPr>
                <w:rFonts w:ascii="Muli" w:eastAsia="Muli" w:hAnsi="Muli" w:cs="Muli"/>
                <w:color w:val="000000"/>
                <w:sz w:val="20"/>
                <w:szCs w:val="20"/>
              </w:rPr>
              <w:t>Identify and provide background information about the each of the three dimensions in the unit. Also take note of any support for nature of science and engineering, technology, and applications of science.</w:t>
            </w:r>
          </w:p>
          <w:p w14:paraId="2F9A1D70" w14:textId="77777777" w:rsidR="00C56CD1" w:rsidRDefault="00DA00BA">
            <w:pPr>
              <w:pStyle w:val="normal0"/>
              <w:numPr>
                <w:ilvl w:val="0"/>
                <w:numId w:val="17"/>
              </w:numPr>
              <w:spacing w:before="1"/>
              <w:ind w:left="90" w:right="93" w:firstLine="0"/>
              <w:contextualSpacing/>
              <w:rPr>
                <w:rFonts w:ascii="Muli" w:eastAsia="Muli" w:hAnsi="Muli" w:cs="Muli"/>
                <w:sz w:val="20"/>
                <w:szCs w:val="20"/>
              </w:rPr>
            </w:pPr>
            <w:r>
              <w:rPr>
                <w:rFonts w:ascii="Muli" w:eastAsia="Muli" w:hAnsi="Muli" w:cs="Muli"/>
                <w:sz w:val="20"/>
                <w:szCs w:val="20"/>
              </w:rPr>
              <w:t>the SEPs</w:t>
            </w:r>
          </w:p>
          <w:p w14:paraId="46681473" w14:textId="77777777" w:rsidR="00C56CD1" w:rsidRDefault="00DA00BA">
            <w:pPr>
              <w:pStyle w:val="normal0"/>
              <w:numPr>
                <w:ilvl w:val="0"/>
                <w:numId w:val="17"/>
              </w:numPr>
              <w:spacing w:before="1"/>
              <w:ind w:left="90" w:right="93" w:firstLine="0"/>
              <w:contextualSpacing/>
              <w:rPr>
                <w:rFonts w:ascii="Muli" w:eastAsia="Muli" w:hAnsi="Muli" w:cs="Muli"/>
                <w:sz w:val="20"/>
                <w:szCs w:val="20"/>
              </w:rPr>
            </w:pPr>
            <w:r>
              <w:rPr>
                <w:rFonts w:ascii="Muli" w:eastAsia="Muli" w:hAnsi="Muli" w:cs="Muli"/>
                <w:sz w:val="20"/>
                <w:szCs w:val="20"/>
              </w:rPr>
              <w:t>the DCIs (including engineering)</w:t>
            </w:r>
          </w:p>
          <w:p w14:paraId="21E5538D" w14:textId="77777777" w:rsidR="00C56CD1" w:rsidRDefault="00DA00BA">
            <w:pPr>
              <w:pStyle w:val="normal0"/>
              <w:numPr>
                <w:ilvl w:val="0"/>
                <w:numId w:val="17"/>
              </w:numPr>
              <w:spacing w:before="1"/>
              <w:ind w:left="90" w:right="93" w:firstLine="0"/>
              <w:contextualSpacing/>
              <w:rPr>
                <w:rFonts w:ascii="Muli" w:eastAsia="Muli" w:hAnsi="Muli" w:cs="Muli"/>
                <w:sz w:val="20"/>
                <w:szCs w:val="20"/>
              </w:rPr>
            </w:pPr>
            <w:r>
              <w:rPr>
                <w:rFonts w:ascii="Muli" w:eastAsia="Muli" w:hAnsi="Muli" w:cs="Muli"/>
                <w:sz w:val="20"/>
                <w:szCs w:val="20"/>
              </w:rPr>
              <w:t>the CCCs</w:t>
            </w:r>
          </w:p>
          <w:p w14:paraId="75C2FE8B" w14:textId="77777777" w:rsidR="00C56CD1" w:rsidRDefault="00DA00BA">
            <w:pPr>
              <w:pStyle w:val="normal0"/>
              <w:numPr>
                <w:ilvl w:val="0"/>
                <w:numId w:val="17"/>
              </w:numPr>
              <w:spacing w:before="11"/>
              <w:ind w:left="90" w:right="93" w:firstLine="0"/>
              <w:contextualSpacing/>
              <w:rPr>
                <w:rFonts w:ascii="Muli" w:eastAsia="Muli" w:hAnsi="Muli" w:cs="Muli"/>
                <w:sz w:val="20"/>
                <w:szCs w:val="20"/>
              </w:rPr>
            </w:pPr>
            <w:r>
              <w:rPr>
                <w:rFonts w:ascii="Muli" w:eastAsia="Muli" w:hAnsi="Muli" w:cs="Muli"/>
                <w:i/>
                <w:sz w:val="20"/>
                <w:szCs w:val="20"/>
              </w:rPr>
              <w:t xml:space="preserve">also note </w:t>
            </w:r>
            <w:r>
              <w:rPr>
                <w:rFonts w:ascii="Muli" w:eastAsia="Muli" w:hAnsi="Muli" w:cs="Muli"/>
                <w:sz w:val="20"/>
                <w:szCs w:val="20"/>
              </w:rPr>
              <w:t>NoS and ETS</w:t>
            </w:r>
          </w:p>
        </w:tc>
        <w:tc>
          <w:tcPr>
            <w:tcW w:w="1079" w:type="dxa"/>
            <w:vMerge w:val="restart"/>
            <w:tcMar>
              <w:top w:w="99" w:type="dxa"/>
              <w:left w:w="99" w:type="dxa"/>
              <w:bottom w:w="99" w:type="dxa"/>
              <w:right w:w="99" w:type="dxa"/>
            </w:tcMar>
          </w:tcPr>
          <w:p w14:paraId="54AC0EC9" w14:textId="77777777" w:rsidR="00C56CD1" w:rsidRDefault="00DA00BA">
            <w:pPr>
              <w:pStyle w:val="normal0"/>
              <w:ind w:left="90"/>
              <w:jc w:val="center"/>
              <w:rPr>
                <w:rFonts w:ascii="Muli" w:eastAsia="Muli" w:hAnsi="Muli" w:cs="Muli"/>
                <w:sz w:val="56"/>
                <w:szCs w:val="56"/>
              </w:rPr>
            </w:pPr>
            <w:r>
              <w:rPr>
                <w:rFonts w:ascii="Arial Unicode MS" w:eastAsia="Arial Unicode MS" w:hAnsi="Arial Unicode MS" w:cs="Arial Unicode MS"/>
                <w:color w:val="FF126D"/>
                <w:sz w:val="56"/>
                <w:szCs w:val="56"/>
              </w:rPr>
              <w:t>✓</w:t>
            </w:r>
          </w:p>
        </w:tc>
        <w:tc>
          <w:tcPr>
            <w:tcW w:w="1261" w:type="dxa"/>
            <w:vMerge w:val="restart"/>
            <w:tcMar>
              <w:top w:w="99" w:type="dxa"/>
              <w:left w:w="99" w:type="dxa"/>
              <w:bottom w:w="99" w:type="dxa"/>
              <w:right w:w="99" w:type="dxa"/>
            </w:tcMar>
          </w:tcPr>
          <w:p w14:paraId="67C00B43" w14:textId="77777777" w:rsidR="00C56CD1" w:rsidRDefault="00C56CD1">
            <w:pPr>
              <w:pStyle w:val="normal0"/>
              <w:pBdr>
                <w:top w:val="nil"/>
                <w:left w:val="nil"/>
                <w:bottom w:val="nil"/>
                <w:right w:val="nil"/>
                <w:between w:val="nil"/>
              </w:pBdr>
              <w:ind w:left="90"/>
              <w:rPr>
                <w:rFonts w:ascii="Muli" w:eastAsia="Muli" w:hAnsi="Muli" w:cs="Muli"/>
                <w:color w:val="000000"/>
              </w:rPr>
            </w:pPr>
          </w:p>
        </w:tc>
        <w:tc>
          <w:tcPr>
            <w:tcW w:w="1261" w:type="dxa"/>
            <w:vMerge w:val="restart"/>
            <w:tcMar>
              <w:top w:w="99" w:type="dxa"/>
              <w:left w:w="99" w:type="dxa"/>
              <w:bottom w:w="99" w:type="dxa"/>
              <w:right w:w="99" w:type="dxa"/>
            </w:tcMar>
          </w:tcPr>
          <w:p w14:paraId="4D7CE5CD" w14:textId="77777777" w:rsidR="00C56CD1" w:rsidRDefault="00C56CD1">
            <w:pPr>
              <w:pStyle w:val="normal0"/>
              <w:pBdr>
                <w:top w:val="nil"/>
                <w:left w:val="nil"/>
                <w:bottom w:val="nil"/>
                <w:right w:val="nil"/>
                <w:between w:val="nil"/>
              </w:pBdr>
              <w:ind w:left="90"/>
              <w:rPr>
                <w:rFonts w:ascii="Muli" w:eastAsia="Muli" w:hAnsi="Muli" w:cs="Muli"/>
                <w:color w:val="000000"/>
              </w:rPr>
            </w:pPr>
          </w:p>
        </w:tc>
      </w:tr>
      <w:tr w:rsidR="00C56CD1" w14:paraId="3856DD25" w14:textId="77777777">
        <w:trPr>
          <w:trHeight w:val="324"/>
        </w:trPr>
        <w:tc>
          <w:tcPr>
            <w:tcW w:w="10288" w:type="dxa"/>
            <w:vMerge/>
            <w:tcBorders>
              <w:bottom w:val="nil"/>
              <w:right w:val="nil"/>
            </w:tcBorders>
            <w:tcMar>
              <w:top w:w="99" w:type="dxa"/>
              <w:left w:w="99" w:type="dxa"/>
              <w:bottom w:w="99" w:type="dxa"/>
              <w:right w:w="99" w:type="dxa"/>
            </w:tcMar>
          </w:tcPr>
          <w:p w14:paraId="598E5C2A" w14:textId="77777777" w:rsidR="00C56CD1" w:rsidRDefault="00C56CD1">
            <w:pPr>
              <w:pStyle w:val="normal0"/>
              <w:pBdr>
                <w:top w:val="nil"/>
                <w:left w:val="nil"/>
                <w:bottom w:val="nil"/>
                <w:right w:val="nil"/>
                <w:between w:val="nil"/>
              </w:pBdr>
              <w:ind w:left="90"/>
              <w:rPr>
                <w:rFonts w:ascii="Muli" w:eastAsia="Muli" w:hAnsi="Muli" w:cs="Muli"/>
                <w:color w:val="000000"/>
              </w:rPr>
            </w:pPr>
          </w:p>
        </w:tc>
        <w:tc>
          <w:tcPr>
            <w:tcW w:w="1079" w:type="dxa"/>
            <w:vMerge/>
            <w:tcMar>
              <w:top w:w="99" w:type="dxa"/>
              <w:left w:w="99" w:type="dxa"/>
              <w:bottom w:w="99" w:type="dxa"/>
              <w:right w:w="99" w:type="dxa"/>
            </w:tcMar>
          </w:tcPr>
          <w:p w14:paraId="45729298" w14:textId="77777777" w:rsidR="00C56CD1" w:rsidRDefault="00C56CD1">
            <w:pPr>
              <w:pStyle w:val="normal0"/>
              <w:pBdr>
                <w:top w:val="nil"/>
                <w:left w:val="nil"/>
                <w:bottom w:val="nil"/>
                <w:right w:val="nil"/>
                <w:between w:val="nil"/>
              </w:pBdr>
              <w:ind w:left="90"/>
              <w:rPr>
                <w:rFonts w:ascii="Muli" w:eastAsia="Muli" w:hAnsi="Muli" w:cs="Muli"/>
                <w:color w:val="000000"/>
              </w:rPr>
            </w:pPr>
          </w:p>
        </w:tc>
        <w:tc>
          <w:tcPr>
            <w:tcW w:w="1261" w:type="dxa"/>
            <w:vMerge/>
            <w:tcMar>
              <w:top w:w="99" w:type="dxa"/>
              <w:left w:w="99" w:type="dxa"/>
              <w:bottom w:w="99" w:type="dxa"/>
              <w:right w:w="99" w:type="dxa"/>
            </w:tcMar>
          </w:tcPr>
          <w:p w14:paraId="576EBB2B" w14:textId="77777777" w:rsidR="00C56CD1" w:rsidRDefault="00C56CD1">
            <w:pPr>
              <w:pStyle w:val="normal0"/>
              <w:pBdr>
                <w:top w:val="nil"/>
                <w:left w:val="nil"/>
                <w:bottom w:val="nil"/>
                <w:right w:val="nil"/>
                <w:between w:val="nil"/>
              </w:pBdr>
              <w:ind w:left="90"/>
              <w:rPr>
                <w:rFonts w:ascii="Muli" w:eastAsia="Muli" w:hAnsi="Muli" w:cs="Muli"/>
                <w:color w:val="000000"/>
              </w:rPr>
            </w:pPr>
          </w:p>
        </w:tc>
        <w:tc>
          <w:tcPr>
            <w:tcW w:w="1261" w:type="dxa"/>
            <w:vMerge/>
            <w:tcMar>
              <w:top w:w="99" w:type="dxa"/>
              <w:left w:w="99" w:type="dxa"/>
              <w:bottom w:w="99" w:type="dxa"/>
              <w:right w:w="99" w:type="dxa"/>
            </w:tcMar>
          </w:tcPr>
          <w:p w14:paraId="4E0F3451" w14:textId="77777777" w:rsidR="00C56CD1" w:rsidRDefault="00C56CD1">
            <w:pPr>
              <w:pStyle w:val="normal0"/>
              <w:pBdr>
                <w:top w:val="nil"/>
                <w:left w:val="nil"/>
                <w:bottom w:val="nil"/>
                <w:right w:val="nil"/>
                <w:between w:val="nil"/>
              </w:pBdr>
              <w:ind w:left="90"/>
              <w:rPr>
                <w:rFonts w:ascii="Muli" w:eastAsia="Muli" w:hAnsi="Muli" w:cs="Muli"/>
                <w:color w:val="000000"/>
              </w:rPr>
            </w:pPr>
          </w:p>
        </w:tc>
      </w:tr>
      <w:tr w:rsidR="00C56CD1" w14:paraId="0207C4D6" w14:textId="77777777">
        <w:trPr>
          <w:trHeight w:val="324"/>
        </w:trPr>
        <w:tc>
          <w:tcPr>
            <w:tcW w:w="10288" w:type="dxa"/>
            <w:vMerge/>
            <w:tcBorders>
              <w:bottom w:val="nil"/>
              <w:right w:val="nil"/>
            </w:tcBorders>
            <w:tcMar>
              <w:top w:w="99" w:type="dxa"/>
              <w:left w:w="99" w:type="dxa"/>
              <w:bottom w:w="99" w:type="dxa"/>
              <w:right w:w="99" w:type="dxa"/>
            </w:tcMar>
          </w:tcPr>
          <w:p w14:paraId="776EA67C" w14:textId="77777777" w:rsidR="00C56CD1" w:rsidRDefault="00C56CD1">
            <w:pPr>
              <w:pStyle w:val="normal0"/>
              <w:pBdr>
                <w:top w:val="nil"/>
                <w:left w:val="nil"/>
                <w:bottom w:val="nil"/>
                <w:right w:val="nil"/>
                <w:between w:val="nil"/>
              </w:pBdr>
              <w:ind w:left="90"/>
              <w:rPr>
                <w:rFonts w:ascii="Muli" w:eastAsia="Muli" w:hAnsi="Muli" w:cs="Muli"/>
                <w:color w:val="000000"/>
              </w:rPr>
            </w:pPr>
          </w:p>
        </w:tc>
        <w:tc>
          <w:tcPr>
            <w:tcW w:w="1079" w:type="dxa"/>
            <w:vMerge/>
            <w:tcMar>
              <w:top w:w="99" w:type="dxa"/>
              <w:left w:w="99" w:type="dxa"/>
              <w:bottom w:w="99" w:type="dxa"/>
              <w:right w:w="99" w:type="dxa"/>
            </w:tcMar>
          </w:tcPr>
          <w:p w14:paraId="6AF5DF47" w14:textId="77777777" w:rsidR="00C56CD1" w:rsidRDefault="00C56CD1">
            <w:pPr>
              <w:pStyle w:val="normal0"/>
              <w:pBdr>
                <w:top w:val="nil"/>
                <w:left w:val="nil"/>
                <w:bottom w:val="nil"/>
                <w:right w:val="nil"/>
                <w:between w:val="nil"/>
              </w:pBdr>
              <w:ind w:left="90"/>
              <w:rPr>
                <w:rFonts w:ascii="Muli" w:eastAsia="Muli" w:hAnsi="Muli" w:cs="Muli"/>
                <w:color w:val="000000"/>
              </w:rPr>
            </w:pPr>
          </w:p>
        </w:tc>
        <w:tc>
          <w:tcPr>
            <w:tcW w:w="1261" w:type="dxa"/>
            <w:vMerge/>
            <w:tcMar>
              <w:top w:w="99" w:type="dxa"/>
              <w:left w:w="99" w:type="dxa"/>
              <w:bottom w:w="99" w:type="dxa"/>
              <w:right w:w="99" w:type="dxa"/>
            </w:tcMar>
          </w:tcPr>
          <w:p w14:paraId="758386EC" w14:textId="77777777" w:rsidR="00C56CD1" w:rsidRDefault="00C56CD1">
            <w:pPr>
              <w:pStyle w:val="normal0"/>
              <w:pBdr>
                <w:top w:val="nil"/>
                <w:left w:val="nil"/>
                <w:bottom w:val="nil"/>
                <w:right w:val="nil"/>
                <w:between w:val="nil"/>
              </w:pBdr>
              <w:ind w:left="90"/>
              <w:rPr>
                <w:rFonts w:ascii="Muli" w:eastAsia="Muli" w:hAnsi="Muli" w:cs="Muli"/>
                <w:color w:val="000000"/>
              </w:rPr>
            </w:pPr>
          </w:p>
        </w:tc>
        <w:tc>
          <w:tcPr>
            <w:tcW w:w="1261" w:type="dxa"/>
            <w:vMerge/>
            <w:tcMar>
              <w:top w:w="99" w:type="dxa"/>
              <w:left w:w="99" w:type="dxa"/>
              <w:bottom w:w="99" w:type="dxa"/>
              <w:right w:w="99" w:type="dxa"/>
            </w:tcMar>
          </w:tcPr>
          <w:p w14:paraId="51DC0DBC" w14:textId="77777777" w:rsidR="00C56CD1" w:rsidRDefault="00C56CD1">
            <w:pPr>
              <w:pStyle w:val="normal0"/>
              <w:pBdr>
                <w:top w:val="nil"/>
                <w:left w:val="nil"/>
                <w:bottom w:val="nil"/>
                <w:right w:val="nil"/>
                <w:between w:val="nil"/>
              </w:pBdr>
              <w:ind w:left="90"/>
              <w:rPr>
                <w:rFonts w:ascii="Muli" w:eastAsia="Muli" w:hAnsi="Muli" w:cs="Muli"/>
                <w:color w:val="000000"/>
              </w:rPr>
            </w:pPr>
          </w:p>
        </w:tc>
      </w:tr>
      <w:tr w:rsidR="00C56CD1" w14:paraId="787C75BA" w14:textId="77777777">
        <w:trPr>
          <w:trHeight w:val="1180"/>
        </w:trPr>
        <w:tc>
          <w:tcPr>
            <w:tcW w:w="10288" w:type="dxa"/>
            <w:vMerge/>
            <w:tcBorders>
              <w:top w:val="nil"/>
              <w:right w:val="nil"/>
            </w:tcBorders>
            <w:tcMar>
              <w:top w:w="99" w:type="dxa"/>
              <w:left w:w="99" w:type="dxa"/>
              <w:bottom w:w="99" w:type="dxa"/>
              <w:right w:w="99" w:type="dxa"/>
            </w:tcMar>
          </w:tcPr>
          <w:p w14:paraId="7F16E98E" w14:textId="77777777" w:rsidR="00C56CD1" w:rsidRDefault="00C56CD1">
            <w:pPr>
              <w:pStyle w:val="normal0"/>
              <w:pBdr>
                <w:top w:val="nil"/>
                <w:left w:val="nil"/>
                <w:bottom w:val="nil"/>
                <w:right w:val="nil"/>
                <w:between w:val="nil"/>
              </w:pBdr>
              <w:ind w:left="90"/>
              <w:rPr>
                <w:rFonts w:ascii="Muli" w:eastAsia="Muli" w:hAnsi="Muli" w:cs="Muli"/>
                <w:color w:val="000000"/>
                <w:sz w:val="20"/>
                <w:szCs w:val="20"/>
              </w:rPr>
            </w:pPr>
          </w:p>
        </w:tc>
        <w:tc>
          <w:tcPr>
            <w:tcW w:w="1079" w:type="dxa"/>
            <w:vMerge/>
            <w:tcMar>
              <w:top w:w="99" w:type="dxa"/>
              <w:left w:w="99" w:type="dxa"/>
              <w:bottom w:w="99" w:type="dxa"/>
              <w:right w:w="99" w:type="dxa"/>
            </w:tcMar>
          </w:tcPr>
          <w:p w14:paraId="2D0AE60C" w14:textId="77777777" w:rsidR="00C56CD1" w:rsidRDefault="00C56CD1">
            <w:pPr>
              <w:pStyle w:val="normal0"/>
              <w:pBdr>
                <w:top w:val="nil"/>
                <w:left w:val="nil"/>
                <w:bottom w:val="nil"/>
                <w:right w:val="nil"/>
                <w:between w:val="nil"/>
              </w:pBdr>
              <w:ind w:left="90"/>
              <w:rPr>
                <w:rFonts w:ascii="Muli" w:eastAsia="Muli" w:hAnsi="Muli" w:cs="Muli"/>
                <w:color w:val="000000"/>
              </w:rPr>
            </w:pPr>
          </w:p>
        </w:tc>
        <w:tc>
          <w:tcPr>
            <w:tcW w:w="1261" w:type="dxa"/>
            <w:vMerge/>
            <w:tcMar>
              <w:top w:w="99" w:type="dxa"/>
              <w:left w:w="99" w:type="dxa"/>
              <w:bottom w:w="99" w:type="dxa"/>
              <w:right w:w="99" w:type="dxa"/>
            </w:tcMar>
          </w:tcPr>
          <w:p w14:paraId="162835B3" w14:textId="77777777" w:rsidR="00C56CD1" w:rsidRDefault="00C56CD1">
            <w:pPr>
              <w:pStyle w:val="normal0"/>
              <w:pBdr>
                <w:top w:val="nil"/>
                <w:left w:val="nil"/>
                <w:bottom w:val="nil"/>
                <w:right w:val="nil"/>
                <w:between w:val="nil"/>
              </w:pBdr>
              <w:ind w:left="90"/>
              <w:rPr>
                <w:rFonts w:ascii="Muli" w:eastAsia="Muli" w:hAnsi="Muli" w:cs="Muli"/>
                <w:color w:val="000000"/>
              </w:rPr>
            </w:pPr>
          </w:p>
        </w:tc>
        <w:tc>
          <w:tcPr>
            <w:tcW w:w="1261" w:type="dxa"/>
            <w:vMerge/>
            <w:tcMar>
              <w:top w:w="99" w:type="dxa"/>
              <w:left w:w="99" w:type="dxa"/>
              <w:bottom w:w="99" w:type="dxa"/>
              <w:right w:w="99" w:type="dxa"/>
            </w:tcMar>
          </w:tcPr>
          <w:p w14:paraId="1FA0D79D" w14:textId="77777777" w:rsidR="00C56CD1" w:rsidRDefault="00C56CD1">
            <w:pPr>
              <w:pStyle w:val="normal0"/>
              <w:pBdr>
                <w:top w:val="nil"/>
                <w:left w:val="nil"/>
                <w:bottom w:val="nil"/>
                <w:right w:val="nil"/>
                <w:between w:val="nil"/>
              </w:pBdr>
              <w:ind w:left="90"/>
              <w:rPr>
                <w:rFonts w:ascii="Muli" w:eastAsia="Muli" w:hAnsi="Muli" w:cs="Muli"/>
                <w:color w:val="000000"/>
              </w:rPr>
            </w:pPr>
          </w:p>
        </w:tc>
      </w:tr>
      <w:tr w:rsidR="00C56CD1" w14:paraId="3511B521" w14:textId="77777777">
        <w:trPr>
          <w:trHeight w:val="440"/>
        </w:trPr>
        <w:tc>
          <w:tcPr>
            <w:tcW w:w="10288" w:type="dxa"/>
            <w:tcMar>
              <w:top w:w="99" w:type="dxa"/>
              <w:left w:w="99" w:type="dxa"/>
              <w:bottom w:w="99" w:type="dxa"/>
              <w:right w:w="99" w:type="dxa"/>
            </w:tcMar>
          </w:tcPr>
          <w:p w14:paraId="59BD5CA6" w14:textId="77777777" w:rsidR="00C56CD1" w:rsidRDefault="00DA00BA">
            <w:pPr>
              <w:pStyle w:val="normal0"/>
              <w:pBdr>
                <w:top w:val="nil"/>
                <w:left w:val="nil"/>
                <w:bottom w:val="nil"/>
                <w:right w:val="nil"/>
                <w:between w:val="nil"/>
              </w:pBdr>
              <w:spacing w:before="1"/>
              <w:ind w:left="90"/>
              <w:rPr>
                <w:rFonts w:ascii="Muli" w:eastAsia="Muli" w:hAnsi="Muli" w:cs="Muli"/>
                <w:color w:val="000000"/>
                <w:sz w:val="20"/>
                <w:szCs w:val="20"/>
              </w:rPr>
            </w:pPr>
            <w:r>
              <w:rPr>
                <w:rFonts w:ascii="Muli" w:eastAsia="Muli" w:hAnsi="Muli" w:cs="Muli"/>
                <w:b/>
                <w:color w:val="000000"/>
                <w:sz w:val="20"/>
                <w:szCs w:val="20"/>
              </w:rPr>
              <w:t xml:space="preserve">F3. Presence of Logical Sequence. </w:t>
            </w:r>
            <w:r>
              <w:rPr>
                <w:rFonts w:ascii="Muli" w:eastAsia="Muli" w:hAnsi="Muli" w:cs="Muli"/>
                <w:color w:val="000000"/>
                <w:sz w:val="20"/>
                <w:szCs w:val="20"/>
              </w:rPr>
              <w:t>Identify and provide background information on the sequence of learning in the unit.</w:t>
            </w:r>
          </w:p>
        </w:tc>
        <w:tc>
          <w:tcPr>
            <w:tcW w:w="1079" w:type="dxa"/>
            <w:tcMar>
              <w:top w:w="99" w:type="dxa"/>
              <w:left w:w="99" w:type="dxa"/>
              <w:bottom w:w="99" w:type="dxa"/>
              <w:right w:w="99" w:type="dxa"/>
            </w:tcMar>
          </w:tcPr>
          <w:p w14:paraId="509844B7" w14:textId="77777777" w:rsidR="00C56CD1" w:rsidRDefault="00DA00BA">
            <w:pPr>
              <w:pStyle w:val="normal0"/>
              <w:ind w:left="90"/>
              <w:jc w:val="center"/>
              <w:rPr>
                <w:rFonts w:ascii="Muli" w:eastAsia="Muli" w:hAnsi="Muli" w:cs="Muli"/>
                <w:color w:val="FF126D"/>
                <w:sz w:val="56"/>
                <w:szCs w:val="56"/>
              </w:rPr>
            </w:pPr>
            <w:r>
              <w:rPr>
                <w:rFonts w:ascii="Arial Unicode MS" w:eastAsia="Arial Unicode MS" w:hAnsi="Arial Unicode MS" w:cs="Arial Unicode MS"/>
                <w:color w:val="FF126D"/>
                <w:sz w:val="56"/>
                <w:szCs w:val="56"/>
              </w:rPr>
              <w:t>✓</w:t>
            </w:r>
          </w:p>
        </w:tc>
        <w:tc>
          <w:tcPr>
            <w:tcW w:w="1261" w:type="dxa"/>
            <w:tcMar>
              <w:top w:w="99" w:type="dxa"/>
              <w:left w:w="99" w:type="dxa"/>
              <w:bottom w:w="99" w:type="dxa"/>
              <w:right w:w="99" w:type="dxa"/>
            </w:tcMar>
          </w:tcPr>
          <w:p w14:paraId="7C90F658" w14:textId="77777777" w:rsidR="00C56CD1" w:rsidRDefault="00C56CD1">
            <w:pPr>
              <w:pStyle w:val="normal0"/>
              <w:pBdr>
                <w:top w:val="nil"/>
                <w:left w:val="nil"/>
                <w:bottom w:val="nil"/>
                <w:right w:val="nil"/>
                <w:between w:val="nil"/>
              </w:pBdr>
              <w:ind w:left="90"/>
              <w:rPr>
                <w:rFonts w:ascii="Muli" w:eastAsia="Muli" w:hAnsi="Muli" w:cs="Muli"/>
                <w:color w:val="000000"/>
              </w:rPr>
            </w:pPr>
          </w:p>
        </w:tc>
        <w:tc>
          <w:tcPr>
            <w:tcW w:w="1261" w:type="dxa"/>
            <w:tcMar>
              <w:top w:w="99" w:type="dxa"/>
              <w:left w:w="99" w:type="dxa"/>
              <w:bottom w:w="99" w:type="dxa"/>
              <w:right w:w="99" w:type="dxa"/>
            </w:tcMar>
          </w:tcPr>
          <w:p w14:paraId="60479450" w14:textId="77777777" w:rsidR="00C56CD1" w:rsidRDefault="00C56CD1">
            <w:pPr>
              <w:pStyle w:val="normal0"/>
              <w:pBdr>
                <w:top w:val="nil"/>
                <w:left w:val="nil"/>
                <w:bottom w:val="nil"/>
                <w:right w:val="nil"/>
                <w:between w:val="nil"/>
              </w:pBdr>
              <w:ind w:left="90"/>
              <w:rPr>
                <w:rFonts w:ascii="Muli" w:eastAsia="Muli" w:hAnsi="Muli" w:cs="Muli"/>
                <w:color w:val="000000"/>
              </w:rPr>
            </w:pPr>
          </w:p>
        </w:tc>
      </w:tr>
    </w:tbl>
    <w:p w14:paraId="035E7454" w14:textId="77777777" w:rsidR="00C56CD1" w:rsidRDefault="00C56CD1">
      <w:pPr>
        <w:pStyle w:val="normal0"/>
        <w:ind w:left="90"/>
        <w:rPr>
          <w:rFonts w:ascii="Muli" w:eastAsia="Muli" w:hAnsi="Muli" w:cs="Muli"/>
        </w:rPr>
      </w:pPr>
    </w:p>
    <w:p w14:paraId="59A17CFA" w14:textId="77777777" w:rsidR="00C56CD1" w:rsidRDefault="00DA00BA">
      <w:pPr>
        <w:pStyle w:val="normal0"/>
        <w:pBdr>
          <w:top w:val="nil"/>
          <w:left w:val="nil"/>
          <w:bottom w:val="nil"/>
          <w:right w:val="nil"/>
          <w:between w:val="nil"/>
        </w:pBdr>
        <w:spacing w:line="276" w:lineRule="auto"/>
        <w:ind w:left="90"/>
        <w:rPr>
          <w:rFonts w:ascii="Muli" w:eastAsia="Muli" w:hAnsi="Muli" w:cs="Muli"/>
          <w:sz w:val="20"/>
          <w:szCs w:val="20"/>
        </w:rPr>
      </w:pPr>
      <w:r>
        <w:br w:type="page"/>
      </w:r>
    </w:p>
    <w:tbl>
      <w:tblPr>
        <w:tblStyle w:val="a1"/>
        <w:tblW w:w="13865"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10"/>
        <w:gridCol w:w="4955"/>
      </w:tblGrid>
      <w:tr w:rsidR="00C56CD1" w14:paraId="114D2970" w14:textId="77777777">
        <w:trPr>
          <w:trHeight w:val="320"/>
        </w:trPr>
        <w:tc>
          <w:tcPr>
            <w:tcW w:w="13865" w:type="dxa"/>
            <w:gridSpan w:val="2"/>
            <w:shd w:val="clear" w:color="auto" w:fill="FF126D"/>
            <w:tcMar>
              <w:top w:w="99" w:type="dxa"/>
              <w:left w:w="99" w:type="dxa"/>
              <w:bottom w:w="99" w:type="dxa"/>
              <w:right w:w="99" w:type="dxa"/>
            </w:tcMar>
          </w:tcPr>
          <w:p w14:paraId="23446115" w14:textId="77777777" w:rsidR="00C56CD1" w:rsidRDefault="00DA00BA">
            <w:pPr>
              <w:pStyle w:val="normal0"/>
              <w:spacing w:before="1"/>
              <w:ind w:left="90"/>
              <w:rPr>
                <w:rFonts w:ascii="Muli" w:eastAsia="Muli" w:hAnsi="Muli" w:cs="Muli"/>
                <w:sz w:val="20"/>
                <w:szCs w:val="20"/>
              </w:rPr>
            </w:pPr>
            <w:r>
              <w:rPr>
                <w:rFonts w:ascii="Muli" w:eastAsia="Muli" w:hAnsi="Muli" w:cs="Muli"/>
                <w:color w:val="FFFFFF"/>
                <w:sz w:val="20"/>
                <w:szCs w:val="20"/>
              </w:rPr>
              <w:lastRenderedPageBreak/>
              <w:t>Strengths related to these Teacher Supports</w:t>
            </w:r>
          </w:p>
        </w:tc>
      </w:tr>
      <w:tr w:rsidR="00C56CD1" w14:paraId="351D9671" w14:textId="77777777">
        <w:trPr>
          <w:trHeight w:val="760"/>
        </w:trPr>
        <w:tc>
          <w:tcPr>
            <w:tcW w:w="13865" w:type="dxa"/>
            <w:gridSpan w:val="2"/>
            <w:shd w:val="clear" w:color="auto" w:fill="CCCCCC"/>
            <w:tcMar>
              <w:top w:w="99" w:type="dxa"/>
              <w:left w:w="99" w:type="dxa"/>
              <w:bottom w:w="99" w:type="dxa"/>
              <w:right w:w="99" w:type="dxa"/>
            </w:tcMar>
          </w:tcPr>
          <w:p w14:paraId="583B7A1D" w14:textId="77777777" w:rsidR="00C56CD1" w:rsidRDefault="00DA00BA">
            <w:pPr>
              <w:pStyle w:val="normal0"/>
              <w:spacing w:before="1"/>
              <w:ind w:left="90" w:right="305"/>
              <w:rPr>
                <w:rFonts w:ascii="Muli" w:eastAsia="Muli" w:hAnsi="Muli" w:cs="Muli"/>
                <w:sz w:val="20"/>
                <w:szCs w:val="20"/>
              </w:rPr>
            </w:pPr>
            <w:r>
              <w:rPr>
                <w:rFonts w:ascii="Muli" w:eastAsia="Muli" w:hAnsi="Muli" w:cs="Muli"/>
                <w:b/>
                <w:sz w:val="20"/>
                <w:szCs w:val="20"/>
              </w:rPr>
              <w:t>F1. Presence of Phenomena/Problems.</w:t>
            </w:r>
          </w:p>
          <w:p w14:paraId="7CC88EDC" w14:textId="77777777" w:rsidR="00C56CD1" w:rsidRDefault="00DA00BA">
            <w:pPr>
              <w:pStyle w:val="normal0"/>
              <w:ind w:left="90"/>
              <w:rPr>
                <w:rFonts w:ascii="Muli" w:eastAsia="Muli" w:hAnsi="Muli" w:cs="Muli"/>
                <w:color w:val="FFFFFF"/>
                <w:sz w:val="20"/>
                <w:szCs w:val="20"/>
              </w:rPr>
            </w:pPr>
            <w:r>
              <w:rPr>
                <w:rFonts w:ascii="Muli" w:eastAsia="Muli" w:hAnsi="Muli" w:cs="Muli"/>
                <w:sz w:val="20"/>
                <w:szCs w:val="20"/>
              </w:rPr>
              <w:t>The module is strong at identifying and providing background information about the phenomena/problems in the unit and how they match the targeted learning goals.</w:t>
            </w:r>
          </w:p>
        </w:tc>
      </w:tr>
      <w:tr w:rsidR="00C56CD1" w14:paraId="249BC055" w14:textId="77777777">
        <w:trPr>
          <w:trHeight w:val="1260"/>
        </w:trPr>
        <w:tc>
          <w:tcPr>
            <w:tcW w:w="8910" w:type="dxa"/>
            <w:vMerge w:val="restart"/>
            <w:tcMar>
              <w:top w:w="99" w:type="dxa"/>
              <w:left w:w="99" w:type="dxa"/>
              <w:bottom w:w="99" w:type="dxa"/>
              <w:right w:w="99" w:type="dxa"/>
            </w:tcMar>
          </w:tcPr>
          <w:p w14:paraId="4B214517" w14:textId="77777777" w:rsidR="00C56CD1" w:rsidRDefault="00DA00BA">
            <w:pPr>
              <w:pStyle w:val="normal0"/>
              <w:ind w:left="90"/>
              <w:rPr>
                <w:rFonts w:ascii="Muli" w:eastAsia="Muli" w:hAnsi="Muli" w:cs="Muli"/>
                <w:b/>
                <w:sz w:val="20"/>
                <w:szCs w:val="20"/>
              </w:rPr>
            </w:pPr>
            <w:r>
              <w:rPr>
                <w:rFonts w:ascii="Muli" w:eastAsia="Muli" w:hAnsi="Muli" w:cs="Muli"/>
                <w:b/>
                <w:color w:val="FF126D"/>
                <w:sz w:val="20"/>
                <w:szCs w:val="20"/>
              </w:rPr>
              <w:t>Evidence</w:t>
            </w:r>
          </w:p>
          <w:p w14:paraId="56646D9A" w14:textId="77777777" w:rsidR="00C56CD1" w:rsidRDefault="00DA00BA">
            <w:pPr>
              <w:pStyle w:val="normal0"/>
              <w:numPr>
                <w:ilvl w:val="0"/>
                <w:numId w:val="18"/>
              </w:numPr>
              <w:contextualSpacing/>
              <w:rPr>
                <w:rFonts w:ascii="Muli" w:eastAsia="Muli" w:hAnsi="Muli" w:cs="Muli"/>
                <w:sz w:val="20"/>
                <w:szCs w:val="20"/>
              </w:rPr>
            </w:pPr>
            <w:r>
              <w:rPr>
                <w:rFonts w:ascii="Muli" w:eastAsia="Muli" w:hAnsi="Muli" w:cs="Muli"/>
                <w:sz w:val="20"/>
                <w:szCs w:val="20"/>
              </w:rPr>
              <w:t>An overview online and in print (TE pi) sets out at high level how students will sol</w:t>
            </w:r>
            <w:r>
              <w:rPr>
                <w:rFonts w:ascii="Muli" w:eastAsia="Muli" w:hAnsi="Muli" w:cs="Muli"/>
                <w:sz w:val="20"/>
                <w:szCs w:val="20"/>
              </w:rPr>
              <w:t xml:space="preserve">ve the Module Phenomenon. </w:t>
            </w:r>
          </w:p>
          <w:p w14:paraId="65CD9C83" w14:textId="77777777" w:rsidR="00C56CD1" w:rsidRDefault="00DA00BA">
            <w:pPr>
              <w:pStyle w:val="normal0"/>
              <w:numPr>
                <w:ilvl w:val="0"/>
                <w:numId w:val="18"/>
              </w:numPr>
              <w:contextualSpacing/>
              <w:rPr>
                <w:rFonts w:ascii="Muli" w:eastAsia="Muli" w:hAnsi="Muli" w:cs="Muli"/>
                <w:sz w:val="20"/>
                <w:szCs w:val="20"/>
              </w:rPr>
            </w:pPr>
            <w:r>
              <w:rPr>
                <w:rFonts w:ascii="Muli" w:eastAsia="Muli" w:hAnsi="Muli" w:cs="Muli"/>
                <w:b/>
                <w:color w:val="FF126D"/>
                <w:sz w:val="20"/>
                <w:szCs w:val="20"/>
              </w:rPr>
              <w:t>Teacher Background Knowledge</w:t>
            </w:r>
            <w:r>
              <w:rPr>
                <w:rFonts w:ascii="Muli" w:eastAsia="Muli" w:hAnsi="Muli" w:cs="Muli"/>
                <w:sz w:val="20"/>
                <w:szCs w:val="20"/>
              </w:rPr>
              <w:t xml:space="preserve"> on the phenomena/problems and DCIs addressed in every Driving Question is explained simply in Q&amp;A format with supporting diagrams and visuals. A glossary of scientific terms is also provided. For exam</w:t>
            </w:r>
            <w:r>
              <w:rPr>
                <w:rFonts w:ascii="Muli" w:eastAsia="Muli" w:hAnsi="Muli" w:cs="Muli"/>
                <w:sz w:val="20"/>
                <w:szCs w:val="20"/>
              </w:rPr>
              <w:t>ple, DQ3 provides background information on ‘nature vs nurture’ and how environmental factors alter organisms, while DQ4 explains conservation and the factors that cause a species to become endangered.</w:t>
            </w:r>
          </w:p>
        </w:tc>
        <w:tc>
          <w:tcPr>
            <w:tcW w:w="4955" w:type="dxa"/>
            <w:vMerge w:val="restart"/>
          </w:tcPr>
          <w:p w14:paraId="1BFA3930" w14:textId="77777777" w:rsidR="00C56CD1" w:rsidRDefault="00DA00BA">
            <w:pPr>
              <w:pStyle w:val="normal0"/>
              <w:ind w:firstLine="90"/>
              <w:rPr>
                <w:rFonts w:ascii="Muli" w:eastAsia="Muli" w:hAnsi="Muli" w:cs="Muli"/>
                <w:color w:val="FF126D"/>
                <w:sz w:val="20"/>
                <w:szCs w:val="20"/>
              </w:rPr>
            </w:pPr>
            <w:r>
              <w:rPr>
                <w:rFonts w:ascii="Muli" w:eastAsia="Muli" w:hAnsi="Muli" w:cs="Muli"/>
                <w:noProof/>
                <w:color w:val="FF126D"/>
                <w:sz w:val="20"/>
                <w:szCs w:val="20"/>
              </w:rPr>
              <w:drawing>
                <wp:inline distT="114300" distB="114300" distL="114300" distR="114300" wp14:anchorId="07575577" wp14:editId="3C7657B9">
                  <wp:extent cx="2833688" cy="2170484"/>
                  <wp:effectExtent l="12700" t="12700" r="12700" b="12700"/>
                  <wp:docPr id="3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
                          <a:srcRect/>
                          <a:stretch>
                            <a:fillRect/>
                          </a:stretch>
                        </pic:blipFill>
                        <pic:spPr>
                          <a:xfrm>
                            <a:off x="0" y="0"/>
                            <a:ext cx="2833688" cy="2170484"/>
                          </a:xfrm>
                          <a:prstGeom prst="rect">
                            <a:avLst/>
                          </a:prstGeom>
                          <a:ln w="12700">
                            <a:solidFill>
                              <a:srgbClr val="D9D9D9"/>
                            </a:solidFill>
                            <a:prstDash val="solid"/>
                          </a:ln>
                        </pic:spPr>
                      </pic:pic>
                    </a:graphicData>
                  </a:graphic>
                </wp:inline>
              </w:drawing>
            </w:r>
          </w:p>
          <w:p w14:paraId="6970B9FB" w14:textId="77777777" w:rsidR="00C56CD1" w:rsidRDefault="00DA00BA">
            <w:pPr>
              <w:pStyle w:val="normal0"/>
              <w:ind w:firstLine="90"/>
              <w:rPr>
                <w:rFonts w:ascii="Muli" w:eastAsia="Muli" w:hAnsi="Muli" w:cs="Muli"/>
                <w:b/>
                <w:color w:val="FF126D"/>
                <w:sz w:val="20"/>
                <w:szCs w:val="20"/>
              </w:rPr>
            </w:pPr>
            <w:r>
              <w:rPr>
                <w:rFonts w:ascii="Muli" w:eastAsia="Muli" w:hAnsi="Muli" w:cs="Muli"/>
                <w:b/>
                <w:color w:val="FF126D"/>
                <w:sz w:val="20"/>
                <w:szCs w:val="20"/>
              </w:rPr>
              <w:t>Teacher Background Knowledge</w:t>
            </w:r>
          </w:p>
        </w:tc>
      </w:tr>
      <w:tr w:rsidR="00C56CD1" w14:paraId="3A572EAB" w14:textId="77777777">
        <w:trPr>
          <w:trHeight w:val="660"/>
        </w:trPr>
        <w:tc>
          <w:tcPr>
            <w:tcW w:w="8910" w:type="dxa"/>
            <w:vMerge/>
            <w:tcMar>
              <w:top w:w="99" w:type="dxa"/>
              <w:left w:w="99" w:type="dxa"/>
              <w:bottom w:w="99" w:type="dxa"/>
              <w:right w:w="99" w:type="dxa"/>
            </w:tcMar>
          </w:tcPr>
          <w:p w14:paraId="062E30CF" w14:textId="77777777" w:rsidR="00C56CD1" w:rsidRDefault="00C56CD1">
            <w:pPr>
              <w:pStyle w:val="normal0"/>
              <w:rPr>
                <w:rFonts w:ascii="Muli" w:eastAsia="Muli" w:hAnsi="Muli" w:cs="Muli"/>
                <w:b/>
                <w:color w:val="FF126D"/>
                <w:sz w:val="20"/>
                <w:szCs w:val="20"/>
              </w:rPr>
            </w:pPr>
          </w:p>
        </w:tc>
        <w:tc>
          <w:tcPr>
            <w:tcW w:w="4955" w:type="dxa"/>
            <w:vMerge/>
          </w:tcPr>
          <w:p w14:paraId="351323F5" w14:textId="77777777" w:rsidR="00C56CD1" w:rsidRDefault="00C56CD1">
            <w:pPr>
              <w:pStyle w:val="normal0"/>
              <w:rPr>
                <w:rFonts w:ascii="Muli" w:eastAsia="Muli" w:hAnsi="Muli" w:cs="Muli"/>
                <w:color w:val="FF126D"/>
                <w:sz w:val="20"/>
                <w:szCs w:val="20"/>
              </w:rPr>
            </w:pPr>
          </w:p>
        </w:tc>
      </w:tr>
      <w:tr w:rsidR="00C56CD1" w14:paraId="2CE11EB1" w14:textId="77777777">
        <w:trPr>
          <w:trHeight w:val="780"/>
        </w:trPr>
        <w:tc>
          <w:tcPr>
            <w:tcW w:w="13865" w:type="dxa"/>
            <w:gridSpan w:val="2"/>
            <w:shd w:val="clear" w:color="auto" w:fill="CCCCCC"/>
            <w:tcMar>
              <w:top w:w="99" w:type="dxa"/>
              <w:left w:w="99" w:type="dxa"/>
              <w:bottom w:w="99" w:type="dxa"/>
              <w:right w:w="99" w:type="dxa"/>
            </w:tcMar>
          </w:tcPr>
          <w:p w14:paraId="3DA62698" w14:textId="77777777" w:rsidR="00C56CD1" w:rsidRDefault="00DA00BA">
            <w:pPr>
              <w:pStyle w:val="normal0"/>
              <w:spacing w:before="1"/>
              <w:ind w:left="90" w:right="144"/>
              <w:rPr>
                <w:rFonts w:ascii="Muli" w:eastAsia="Muli" w:hAnsi="Muli" w:cs="Muli"/>
                <w:b/>
                <w:sz w:val="20"/>
                <w:szCs w:val="20"/>
              </w:rPr>
            </w:pPr>
            <w:r>
              <w:rPr>
                <w:rFonts w:ascii="Muli" w:eastAsia="Muli" w:hAnsi="Muli" w:cs="Muli"/>
                <w:b/>
                <w:sz w:val="20"/>
                <w:szCs w:val="20"/>
              </w:rPr>
              <w:t>F2. Presence of Three Dimensions.</w:t>
            </w:r>
          </w:p>
          <w:p w14:paraId="2A237235" w14:textId="77777777" w:rsidR="00C56CD1" w:rsidRDefault="00DA00BA">
            <w:pPr>
              <w:pStyle w:val="normal0"/>
              <w:spacing w:before="1"/>
              <w:ind w:left="90" w:right="144"/>
              <w:rPr>
                <w:rFonts w:ascii="Muli" w:eastAsia="Muli" w:hAnsi="Muli" w:cs="Muli"/>
                <w:b/>
                <w:sz w:val="20"/>
                <w:szCs w:val="20"/>
              </w:rPr>
            </w:pPr>
            <w:r>
              <w:rPr>
                <w:rFonts w:ascii="Muli" w:eastAsia="Muli" w:hAnsi="Muli" w:cs="Muli"/>
                <w:sz w:val="20"/>
                <w:szCs w:val="20"/>
              </w:rPr>
              <w:t>The module is strong at identifying and providing background information about each of the three dimensions in the unit. It also supports opportunities to connect to the nature of science and engineering, technology, and a</w:t>
            </w:r>
            <w:r>
              <w:rPr>
                <w:rFonts w:ascii="Muli" w:eastAsia="Muli" w:hAnsi="Muli" w:cs="Muli"/>
                <w:sz w:val="20"/>
                <w:szCs w:val="20"/>
              </w:rPr>
              <w:t>pplications of science.</w:t>
            </w:r>
          </w:p>
        </w:tc>
      </w:tr>
      <w:tr w:rsidR="00C56CD1" w14:paraId="30B45871" w14:textId="77777777">
        <w:trPr>
          <w:trHeight w:val="1920"/>
        </w:trPr>
        <w:tc>
          <w:tcPr>
            <w:tcW w:w="13865" w:type="dxa"/>
            <w:gridSpan w:val="2"/>
            <w:tcMar>
              <w:top w:w="99" w:type="dxa"/>
              <w:left w:w="99" w:type="dxa"/>
              <w:bottom w:w="99" w:type="dxa"/>
              <w:right w:w="99" w:type="dxa"/>
            </w:tcMar>
          </w:tcPr>
          <w:p w14:paraId="5363320F" w14:textId="77777777" w:rsidR="00C56CD1" w:rsidRDefault="00DA00BA">
            <w:pPr>
              <w:pStyle w:val="normal0"/>
              <w:ind w:left="90"/>
              <w:rPr>
                <w:rFonts w:ascii="Muli" w:eastAsia="Muli" w:hAnsi="Muli" w:cs="Muli"/>
                <w:color w:val="FF126D"/>
                <w:sz w:val="20"/>
                <w:szCs w:val="20"/>
                <w:shd w:val="clear" w:color="auto" w:fill="F4CCCC"/>
              </w:rPr>
            </w:pPr>
            <w:r>
              <w:rPr>
                <w:rFonts w:ascii="Muli" w:eastAsia="Muli" w:hAnsi="Muli" w:cs="Muli"/>
                <w:b/>
                <w:color w:val="FF126D"/>
                <w:sz w:val="20"/>
                <w:szCs w:val="20"/>
              </w:rPr>
              <w:t>Evidence</w:t>
            </w:r>
            <w:r>
              <w:rPr>
                <w:rFonts w:ascii="Muli" w:eastAsia="Muli" w:hAnsi="Muli" w:cs="Muli"/>
                <w:color w:val="FF126D"/>
                <w:sz w:val="20"/>
                <w:szCs w:val="20"/>
                <w:shd w:val="clear" w:color="auto" w:fill="F4CCCC"/>
              </w:rPr>
              <w:t xml:space="preserve"> </w:t>
            </w:r>
          </w:p>
          <w:p w14:paraId="1F844769" w14:textId="77777777" w:rsidR="00C56CD1" w:rsidRDefault="00DA00BA">
            <w:pPr>
              <w:pStyle w:val="normal0"/>
              <w:numPr>
                <w:ilvl w:val="0"/>
                <w:numId w:val="14"/>
              </w:numPr>
              <w:contextualSpacing/>
              <w:rPr>
                <w:rFonts w:ascii="Muli" w:eastAsia="Muli" w:hAnsi="Muli" w:cs="Muli"/>
                <w:sz w:val="20"/>
                <w:szCs w:val="20"/>
              </w:rPr>
            </w:pPr>
            <w:r>
              <w:rPr>
                <w:rFonts w:ascii="Muli" w:eastAsia="Muli" w:hAnsi="Muli" w:cs="Muli"/>
                <w:sz w:val="20"/>
                <w:szCs w:val="20"/>
              </w:rPr>
              <w:t>A digital guide to SEPs and CCCs</w:t>
            </w:r>
            <w:r>
              <w:rPr>
                <w:rFonts w:ascii="Muli" w:eastAsia="Muli" w:hAnsi="Muli" w:cs="Muli"/>
                <w:sz w:val="20"/>
                <w:szCs w:val="20"/>
              </w:rPr>
              <w:t xml:space="preserve"> provides a clear explanation for each practice and concept with guidance on what these skills should look like in a 6th grade classroom, with specific reference to how students use mathematics and computational thinking (SEP-5), engage in argument from ev</w:t>
            </w:r>
            <w:r>
              <w:rPr>
                <w:rFonts w:ascii="Muli" w:eastAsia="Muli" w:hAnsi="Muli" w:cs="Muli"/>
                <w:sz w:val="20"/>
                <w:szCs w:val="20"/>
              </w:rPr>
              <w:t>idence (SEP-7), and consider cause and effect (CCC-2) in Grade 6 Module 3.</w:t>
            </w:r>
          </w:p>
        </w:tc>
      </w:tr>
      <w:tr w:rsidR="00C56CD1" w14:paraId="34712F9B" w14:textId="77777777">
        <w:trPr>
          <w:trHeight w:val="4080"/>
        </w:trPr>
        <w:tc>
          <w:tcPr>
            <w:tcW w:w="8910" w:type="dxa"/>
            <w:tcMar>
              <w:top w:w="99" w:type="dxa"/>
              <w:left w:w="99" w:type="dxa"/>
              <w:bottom w:w="99" w:type="dxa"/>
              <w:right w:w="99" w:type="dxa"/>
            </w:tcMar>
          </w:tcPr>
          <w:p w14:paraId="11B1C3F7" w14:textId="77777777" w:rsidR="00C56CD1" w:rsidRDefault="00DA00BA">
            <w:pPr>
              <w:pStyle w:val="normal0"/>
              <w:numPr>
                <w:ilvl w:val="0"/>
                <w:numId w:val="14"/>
              </w:numPr>
              <w:contextualSpacing/>
              <w:rPr>
                <w:rFonts w:ascii="Muli" w:eastAsia="Muli" w:hAnsi="Muli" w:cs="Muli"/>
                <w:sz w:val="20"/>
                <w:szCs w:val="20"/>
              </w:rPr>
            </w:pPr>
            <w:r>
              <w:rPr>
                <w:rFonts w:ascii="Muli" w:eastAsia="Muli" w:hAnsi="Muli" w:cs="Muli"/>
                <w:sz w:val="20"/>
                <w:szCs w:val="20"/>
              </w:rPr>
              <w:lastRenderedPageBreak/>
              <w:t>Additional module-specific support is frequently given at point of use in the instructional materials for all dimensions, often in the Connect. For example, the teacher is guided t</w:t>
            </w:r>
            <w:r>
              <w:rPr>
                <w:rFonts w:ascii="Muli" w:eastAsia="Muli" w:hAnsi="Muli" w:cs="Muli"/>
                <w:sz w:val="20"/>
                <w:szCs w:val="20"/>
              </w:rPr>
              <w:t>o connect to LS1.B (Growth and Development of Organisms) in</w:t>
            </w:r>
            <w:r>
              <w:rPr>
                <w:rFonts w:ascii="Muli" w:eastAsia="Muli" w:hAnsi="Muli" w:cs="Muli"/>
                <w:b/>
                <w:color w:val="FF126D"/>
                <w:sz w:val="20"/>
                <w:szCs w:val="20"/>
              </w:rPr>
              <w:t xml:space="preserve"> DQ2L9 TE p. 167</w:t>
            </w:r>
            <w:r>
              <w:rPr>
                <w:rFonts w:ascii="Muli" w:eastAsia="Muli" w:hAnsi="Muli" w:cs="Muli"/>
                <w:sz w:val="20"/>
                <w:szCs w:val="20"/>
              </w:rPr>
              <w:t xml:space="preserve">, and SEP-6 (Constructing Explanations and Designing Solutions) in </w:t>
            </w:r>
            <w:r>
              <w:rPr>
                <w:rFonts w:ascii="Muli" w:eastAsia="Muli" w:hAnsi="Muli" w:cs="Muli"/>
                <w:b/>
                <w:color w:val="FF126D"/>
                <w:sz w:val="20"/>
                <w:szCs w:val="20"/>
              </w:rPr>
              <w:t>DQ3L5 TE p. 221</w:t>
            </w:r>
            <w:r>
              <w:rPr>
                <w:rFonts w:ascii="Muli" w:eastAsia="Muli" w:hAnsi="Muli" w:cs="Muli"/>
                <w:sz w:val="20"/>
                <w:szCs w:val="20"/>
              </w:rPr>
              <w:t>. The teacher is also guided to connect to the Nature of Science (Science Is Based on Empirical Evi</w:t>
            </w:r>
            <w:r>
              <w:rPr>
                <w:rFonts w:ascii="Muli" w:eastAsia="Muli" w:hAnsi="Muli" w:cs="Muli"/>
                <w:sz w:val="20"/>
                <w:szCs w:val="20"/>
              </w:rPr>
              <w:t xml:space="preserve">dence) in </w:t>
            </w:r>
            <w:r>
              <w:rPr>
                <w:rFonts w:ascii="Muli" w:eastAsia="Muli" w:hAnsi="Muli" w:cs="Muli"/>
                <w:b/>
                <w:color w:val="FF126D"/>
                <w:sz w:val="20"/>
                <w:szCs w:val="20"/>
              </w:rPr>
              <w:t>DQ2L2 TE p. 110</w:t>
            </w:r>
            <w:r>
              <w:rPr>
                <w:rFonts w:ascii="Muli" w:eastAsia="Muli" w:hAnsi="Muli" w:cs="Muli"/>
                <w:sz w:val="20"/>
                <w:szCs w:val="20"/>
              </w:rPr>
              <w:t xml:space="preserve">. </w:t>
            </w:r>
          </w:p>
        </w:tc>
        <w:tc>
          <w:tcPr>
            <w:tcW w:w="4955" w:type="dxa"/>
          </w:tcPr>
          <w:p w14:paraId="6BB79732" w14:textId="77777777" w:rsidR="00C56CD1" w:rsidRDefault="00DA00BA">
            <w:pPr>
              <w:pStyle w:val="normal0"/>
              <w:rPr>
                <w:rFonts w:ascii="Muli" w:eastAsia="Muli" w:hAnsi="Muli" w:cs="Muli"/>
                <w:color w:val="FF126D"/>
                <w:sz w:val="20"/>
                <w:szCs w:val="20"/>
              </w:rPr>
            </w:pPr>
            <w:r>
              <w:rPr>
                <w:rFonts w:ascii="Muli" w:eastAsia="Muli" w:hAnsi="Muli" w:cs="Muli"/>
                <w:noProof/>
                <w:color w:val="FF126D"/>
                <w:sz w:val="20"/>
                <w:szCs w:val="20"/>
              </w:rPr>
              <w:drawing>
                <wp:inline distT="114300" distB="114300" distL="114300" distR="114300" wp14:anchorId="23103577" wp14:editId="3FDFE73A">
                  <wp:extent cx="3048000" cy="1876425"/>
                  <wp:effectExtent l="12700" t="12700" r="12700" b="12700"/>
                  <wp:docPr id="5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
                          <a:srcRect r="2735"/>
                          <a:stretch>
                            <a:fillRect/>
                          </a:stretch>
                        </pic:blipFill>
                        <pic:spPr>
                          <a:xfrm>
                            <a:off x="0" y="0"/>
                            <a:ext cx="3048000" cy="1876425"/>
                          </a:xfrm>
                          <a:prstGeom prst="rect">
                            <a:avLst/>
                          </a:prstGeom>
                          <a:ln w="12700">
                            <a:solidFill>
                              <a:srgbClr val="D9D9D9"/>
                            </a:solidFill>
                            <a:prstDash val="solid"/>
                          </a:ln>
                        </pic:spPr>
                      </pic:pic>
                    </a:graphicData>
                  </a:graphic>
                </wp:inline>
              </w:drawing>
            </w:r>
          </w:p>
          <w:p w14:paraId="7D304967" w14:textId="77777777" w:rsidR="00C56CD1" w:rsidRDefault="00DA00BA">
            <w:pPr>
              <w:pStyle w:val="normal0"/>
              <w:ind w:firstLine="90"/>
              <w:rPr>
                <w:rFonts w:ascii="Muli" w:eastAsia="Muli" w:hAnsi="Muli" w:cs="Muli"/>
                <w:b/>
                <w:color w:val="FF126D"/>
                <w:sz w:val="20"/>
                <w:szCs w:val="20"/>
              </w:rPr>
            </w:pPr>
            <w:r>
              <w:rPr>
                <w:rFonts w:ascii="Muli" w:eastAsia="Muli" w:hAnsi="Muli" w:cs="Muli"/>
                <w:b/>
                <w:color w:val="FF126D"/>
                <w:sz w:val="20"/>
                <w:szCs w:val="20"/>
              </w:rPr>
              <w:t>DQ2L9 TE p. 167</w:t>
            </w:r>
          </w:p>
          <w:p w14:paraId="407CF884" w14:textId="77777777" w:rsidR="00C56CD1" w:rsidRDefault="00C56CD1">
            <w:pPr>
              <w:pStyle w:val="normal0"/>
              <w:ind w:firstLine="90"/>
              <w:rPr>
                <w:rFonts w:ascii="Muli" w:eastAsia="Muli" w:hAnsi="Muli" w:cs="Muli"/>
                <w:b/>
                <w:color w:val="FF126D"/>
                <w:sz w:val="20"/>
                <w:szCs w:val="20"/>
              </w:rPr>
            </w:pPr>
          </w:p>
          <w:p w14:paraId="1556C2C9" w14:textId="77777777" w:rsidR="00C56CD1" w:rsidRDefault="00DA00BA">
            <w:pPr>
              <w:pStyle w:val="normal0"/>
              <w:ind w:firstLine="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0BB6837A" wp14:editId="73DE85E8">
                  <wp:extent cx="2957513" cy="1483251"/>
                  <wp:effectExtent l="12700" t="12700" r="12700" b="12700"/>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2957513" cy="1483251"/>
                          </a:xfrm>
                          <a:prstGeom prst="rect">
                            <a:avLst/>
                          </a:prstGeom>
                          <a:ln w="12700">
                            <a:solidFill>
                              <a:srgbClr val="D9D9D9"/>
                            </a:solidFill>
                            <a:prstDash val="solid"/>
                          </a:ln>
                        </pic:spPr>
                      </pic:pic>
                    </a:graphicData>
                  </a:graphic>
                </wp:inline>
              </w:drawing>
            </w:r>
          </w:p>
          <w:p w14:paraId="3C7B62E6" w14:textId="77777777" w:rsidR="00C56CD1" w:rsidRDefault="00DA00BA">
            <w:pPr>
              <w:pStyle w:val="normal0"/>
              <w:ind w:left="90"/>
              <w:rPr>
                <w:rFonts w:ascii="Muli" w:eastAsia="Muli" w:hAnsi="Muli" w:cs="Muli"/>
                <w:b/>
                <w:color w:val="FF126D"/>
                <w:sz w:val="20"/>
                <w:szCs w:val="20"/>
              </w:rPr>
            </w:pPr>
            <w:r>
              <w:rPr>
                <w:rFonts w:ascii="Muli" w:eastAsia="Muli" w:hAnsi="Muli" w:cs="Muli"/>
                <w:b/>
                <w:color w:val="FF126D"/>
                <w:sz w:val="20"/>
                <w:szCs w:val="20"/>
              </w:rPr>
              <w:t>DQ3L5 TE p. 221</w:t>
            </w:r>
          </w:p>
          <w:p w14:paraId="648DEF23" w14:textId="77777777" w:rsidR="00C56CD1" w:rsidRDefault="00DA00BA">
            <w:pPr>
              <w:pStyle w:val="normal0"/>
              <w:ind w:firstLine="90"/>
              <w:rPr>
                <w:rFonts w:ascii="Muli" w:eastAsia="Muli" w:hAnsi="Muli" w:cs="Muli"/>
                <w:b/>
                <w:color w:val="FF126D"/>
                <w:sz w:val="20"/>
                <w:szCs w:val="20"/>
              </w:rPr>
            </w:pPr>
            <w:r>
              <w:rPr>
                <w:rFonts w:ascii="Muli" w:eastAsia="Muli" w:hAnsi="Muli" w:cs="Muli"/>
                <w:b/>
                <w:noProof/>
                <w:color w:val="FF126D"/>
                <w:sz w:val="20"/>
                <w:szCs w:val="20"/>
              </w:rPr>
              <w:lastRenderedPageBreak/>
              <w:drawing>
                <wp:inline distT="114300" distB="114300" distL="114300" distR="114300" wp14:anchorId="3AC40407" wp14:editId="0CDB4601">
                  <wp:extent cx="3019425" cy="2600325"/>
                  <wp:effectExtent l="12700" t="12700" r="12700" b="12700"/>
                  <wp:docPr id="5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1"/>
                          <a:srcRect r="3647" b="5208"/>
                          <a:stretch>
                            <a:fillRect/>
                          </a:stretch>
                        </pic:blipFill>
                        <pic:spPr>
                          <a:xfrm>
                            <a:off x="0" y="0"/>
                            <a:ext cx="3019425" cy="2600325"/>
                          </a:xfrm>
                          <a:prstGeom prst="rect">
                            <a:avLst/>
                          </a:prstGeom>
                          <a:ln w="12700">
                            <a:solidFill>
                              <a:srgbClr val="CCCCCC"/>
                            </a:solidFill>
                            <a:prstDash val="solid"/>
                          </a:ln>
                        </pic:spPr>
                      </pic:pic>
                    </a:graphicData>
                  </a:graphic>
                </wp:inline>
              </w:drawing>
            </w:r>
          </w:p>
          <w:p w14:paraId="341C0CE6" w14:textId="77777777" w:rsidR="00C56CD1" w:rsidRDefault="00DA00BA">
            <w:pPr>
              <w:pStyle w:val="normal0"/>
              <w:ind w:left="90"/>
              <w:rPr>
                <w:rFonts w:ascii="Muli" w:eastAsia="Muli" w:hAnsi="Muli" w:cs="Muli"/>
                <w:b/>
                <w:color w:val="FF126D"/>
                <w:sz w:val="20"/>
                <w:szCs w:val="20"/>
              </w:rPr>
            </w:pPr>
            <w:r>
              <w:rPr>
                <w:rFonts w:ascii="Muli" w:eastAsia="Muli" w:hAnsi="Muli" w:cs="Muli"/>
                <w:b/>
                <w:color w:val="FF126D"/>
                <w:sz w:val="20"/>
                <w:szCs w:val="20"/>
              </w:rPr>
              <w:t>DQ2L2 TE p. 110</w:t>
            </w:r>
          </w:p>
          <w:p w14:paraId="33279EB5" w14:textId="77777777" w:rsidR="00C56CD1" w:rsidRDefault="00C56CD1">
            <w:pPr>
              <w:pStyle w:val="normal0"/>
              <w:ind w:firstLine="90"/>
              <w:rPr>
                <w:rFonts w:ascii="Muli" w:eastAsia="Muli" w:hAnsi="Muli" w:cs="Muli"/>
                <w:b/>
                <w:color w:val="FF126D"/>
                <w:sz w:val="20"/>
                <w:szCs w:val="20"/>
              </w:rPr>
            </w:pPr>
          </w:p>
          <w:p w14:paraId="120066B7" w14:textId="77777777" w:rsidR="00C56CD1" w:rsidRDefault="00C56CD1">
            <w:pPr>
              <w:pStyle w:val="normal0"/>
              <w:ind w:firstLine="90"/>
              <w:rPr>
                <w:rFonts w:ascii="Muli" w:eastAsia="Muli" w:hAnsi="Muli" w:cs="Muli"/>
                <w:b/>
                <w:color w:val="FF126D"/>
                <w:sz w:val="20"/>
                <w:szCs w:val="20"/>
              </w:rPr>
            </w:pPr>
          </w:p>
        </w:tc>
      </w:tr>
      <w:tr w:rsidR="00C56CD1" w14:paraId="6DC86DEB" w14:textId="77777777">
        <w:trPr>
          <w:trHeight w:val="640"/>
        </w:trPr>
        <w:tc>
          <w:tcPr>
            <w:tcW w:w="13865" w:type="dxa"/>
            <w:gridSpan w:val="2"/>
            <w:shd w:val="clear" w:color="auto" w:fill="CCCCCC"/>
            <w:tcMar>
              <w:top w:w="99" w:type="dxa"/>
              <w:left w:w="99" w:type="dxa"/>
              <w:bottom w:w="99" w:type="dxa"/>
              <w:right w:w="99" w:type="dxa"/>
            </w:tcMar>
          </w:tcPr>
          <w:p w14:paraId="753C1ED4" w14:textId="77777777" w:rsidR="00C56CD1" w:rsidRDefault="00DA00BA">
            <w:pPr>
              <w:pStyle w:val="normal0"/>
              <w:spacing w:before="1"/>
              <w:ind w:left="90"/>
              <w:rPr>
                <w:rFonts w:ascii="Muli" w:eastAsia="Muli" w:hAnsi="Muli" w:cs="Muli"/>
                <w:b/>
                <w:sz w:val="20"/>
                <w:szCs w:val="20"/>
              </w:rPr>
            </w:pPr>
            <w:r>
              <w:rPr>
                <w:rFonts w:ascii="Muli" w:eastAsia="Muli" w:hAnsi="Muli" w:cs="Muli"/>
                <w:b/>
                <w:sz w:val="20"/>
                <w:szCs w:val="20"/>
              </w:rPr>
              <w:lastRenderedPageBreak/>
              <w:t xml:space="preserve">F3. Presence of Logical Sequence. </w:t>
            </w:r>
          </w:p>
          <w:p w14:paraId="1E779CD6" w14:textId="77777777" w:rsidR="00C56CD1" w:rsidRDefault="00DA00BA">
            <w:pPr>
              <w:pStyle w:val="normal0"/>
              <w:spacing w:before="1"/>
              <w:ind w:left="90"/>
              <w:rPr>
                <w:rFonts w:ascii="Muli" w:eastAsia="Muli" w:hAnsi="Muli" w:cs="Muli"/>
                <w:b/>
                <w:sz w:val="20"/>
                <w:szCs w:val="20"/>
              </w:rPr>
            </w:pPr>
            <w:r>
              <w:rPr>
                <w:rFonts w:ascii="Muli" w:eastAsia="Muli" w:hAnsi="Muli" w:cs="Muli"/>
                <w:sz w:val="20"/>
                <w:szCs w:val="20"/>
              </w:rPr>
              <w:t>The module is strong at identifying and providing background information on the sequence of learning in the unit.</w:t>
            </w:r>
          </w:p>
        </w:tc>
      </w:tr>
      <w:tr w:rsidR="00C56CD1" w14:paraId="182F1E88" w14:textId="77777777">
        <w:trPr>
          <w:trHeight w:val="1780"/>
        </w:trPr>
        <w:tc>
          <w:tcPr>
            <w:tcW w:w="8910" w:type="dxa"/>
            <w:tcMar>
              <w:top w:w="99" w:type="dxa"/>
              <w:left w:w="99" w:type="dxa"/>
              <w:bottom w:w="99" w:type="dxa"/>
              <w:right w:w="99" w:type="dxa"/>
            </w:tcMar>
          </w:tcPr>
          <w:p w14:paraId="3D2DC8B5" w14:textId="77777777" w:rsidR="00C56CD1" w:rsidRDefault="00DA00BA">
            <w:pPr>
              <w:pStyle w:val="normal0"/>
              <w:ind w:left="90"/>
              <w:rPr>
                <w:rFonts w:ascii="Muli" w:eastAsia="Muli" w:hAnsi="Muli" w:cs="Muli"/>
                <w:b/>
                <w:color w:val="FF126D"/>
                <w:sz w:val="20"/>
                <w:szCs w:val="20"/>
              </w:rPr>
            </w:pPr>
            <w:r>
              <w:rPr>
                <w:rFonts w:ascii="Muli" w:eastAsia="Muli" w:hAnsi="Muli" w:cs="Muli"/>
                <w:b/>
                <w:color w:val="FF126D"/>
                <w:sz w:val="20"/>
                <w:szCs w:val="20"/>
              </w:rPr>
              <w:t xml:space="preserve">Evidence </w:t>
            </w:r>
          </w:p>
          <w:p w14:paraId="207996CE" w14:textId="77777777" w:rsidR="00C56CD1" w:rsidRDefault="00DA00BA">
            <w:pPr>
              <w:pStyle w:val="normal0"/>
              <w:numPr>
                <w:ilvl w:val="0"/>
                <w:numId w:val="19"/>
              </w:numPr>
              <w:contextualSpacing/>
              <w:rPr>
                <w:rFonts w:ascii="Muli" w:eastAsia="Muli" w:hAnsi="Muli" w:cs="Muli"/>
                <w:sz w:val="20"/>
                <w:szCs w:val="20"/>
              </w:rPr>
            </w:pPr>
            <w:r>
              <w:rPr>
                <w:rFonts w:ascii="Muli" w:eastAsia="Muli" w:hAnsi="Muli" w:cs="Muli"/>
                <w:sz w:val="20"/>
                <w:szCs w:val="20"/>
              </w:rPr>
              <w:t xml:space="preserve">A </w:t>
            </w:r>
            <w:r>
              <w:rPr>
                <w:rFonts w:ascii="Muli" w:eastAsia="Muli" w:hAnsi="Muli" w:cs="Muli"/>
                <w:b/>
                <w:color w:val="FF126D"/>
                <w:sz w:val="20"/>
                <w:szCs w:val="20"/>
              </w:rPr>
              <w:t>Module Introduction video</w:t>
            </w:r>
            <w:r>
              <w:rPr>
                <w:rFonts w:ascii="Muli" w:eastAsia="Muli" w:hAnsi="Muli" w:cs="Muli"/>
                <w:sz w:val="20"/>
                <w:szCs w:val="20"/>
              </w:rPr>
              <w:t xml:space="preserve"> provides the teacher with an engaging overview on the phenomenon explored in The Red List, the sequence of learning, and an explanation of how the Performance Expectations are addressed and how they build on each other.</w:t>
            </w:r>
            <w:r>
              <w:rPr>
                <w:rFonts w:ascii="Muli" w:eastAsia="Muli" w:hAnsi="Muli" w:cs="Muli"/>
                <w:color w:val="FF0000"/>
                <w:sz w:val="20"/>
                <w:szCs w:val="20"/>
              </w:rPr>
              <w:t xml:space="preserve"> </w:t>
            </w:r>
          </w:p>
          <w:p w14:paraId="739B2883" w14:textId="77777777" w:rsidR="00C56CD1" w:rsidRDefault="00C56CD1">
            <w:pPr>
              <w:pStyle w:val="normal0"/>
              <w:rPr>
                <w:rFonts w:ascii="Muli" w:eastAsia="Muli" w:hAnsi="Muli" w:cs="Muli"/>
                <w:b/>
                <w:sz w:val="20"/>
                <w:szCs w:val="20"/>
              </w:rPr>
            </w:pPr>
          </w:p>
        </w:tc>
        <w:tc>
          <w:tcPr>
            <w:tcW w:w="4955" w:type="dxa"/>
          </w:tcPr>
          <w:p w14:paraId="226E14F7" w14:textId="77777777" w:rsidR="00C56CD1" w:rsidRDefault="00DA00BA">
            <w:pPr>
              <w:pStyle w:val="normal0"/>
              <w:rPr>
                <w:rFonts w:ascii="Muli" w:eastAsia="Muli" w:hAnsi="Muli" w:cs="Muli"/>
                <w:color w:val="FF126D"/>
                <w:sz w:val="20"/>
                <w:szCs w:val="20"/>
              </w:rPr>
            </w:pPr>
            <w:r>
              <w:rPr>
                <w:rFonts w:ascii="Muli" w:eastAsia="Muli" w:hAnsi="Muli" w:cs="Muli"/>
                <w:noProof/>
                <w:color w:val="FF126D"/>
                <w:sz w:val="20"/>
                <w:szCs w:val="20"/>
              </w:rPr>
              <w:drawing>
                <wp:inline distT="114300" distB="114300" distL="114300" distR="114300" wp14:anchorId="53195673" wp14:editId="0E165B90">
                  <wp:extent cx="3014663" cy="1722664"/>
                  <wp:effectExtent l="0" t="0" r="0" b="0"/>
                  <wp:docPr id="4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2"/>
                          <a:srcRect/>
                          <a:stretch>
                            <a:fillRect/>
                          </a:stretch>
                        </pic:blipFill>
                        <pic:spPr>
                          <a:xfrm>
                            <a:off x="0" y="0"/>
                            <a:ext cx="3014663" cy="1722664"/>
                          </a:xfrm>
                          <a:prstGeom prst="rect">
                            <a:avLst/>
                          </a:prstGeom>
                          <a:ln/>
                        </pic:spPr>
                      </pic:pic>
                    </a:graphicData>
                  </a:graphic>
                </wp:inline>
              </w:drawing>
            </w:r>
          </w:p>
          <w:p w14:paraId="74270671" w14:textId="77777777" w:rsidR="00C56CD1" w:rsidRDefault="00DA00BA">
            <w:pPr>
              <w:pStyle w:val="normal0"/>
              <w:ind w:left="90"/>
              <w:rPr>
                <w:rFonts w:ascii="Muli" w:eastAsia="Muli" w:hAnsi="Muli" w:cs="Muli"/>
                <w:color w:val="FF126D"/>
                <w:sz w:val="20"/>
                <w:szCs w:val="20"/>
              </w:rPr>
            </w:pPr>
            <w:r>
              <w:rPr>
                <w:rFonts w:ascii="Muli" w:eastAsia="Muli" w:hAnsi="Muli" w:cs="Muli"/>
                <w:b/>
                <w:color w:val="FF126D"/>
                <w:sz w:val="20"/>
                <w:szCs w:val="20"/>
              </w:rPr>
              <w:t>Module Introduction video</w:t>
            </w:r>
          </w:p>
        </w:tc>
      </w:tr>
      <w:tr w:rsidR="00C56CD1" w14:paraId="24DEA50A" w14:textId="77777777">
        <w:trPr>
          <w:trHeight w:val="4960"/>
        </w:trPr>
        <w:tc>
          <w:tcPr>
            <w:tcW w:w="8910" w:type="dxa"/>
            <w:tcMar>
              <w:top w:w="99" w:type="dxa"/>
              <w:left w:w="99" w:type="dxa"/>
              <w:bottom w:w="99" w:type="dxa"/>
              <w:right w:w="99" w:type="dxa"/>
            </w:tcMar>
          </w:tcPr>
          <w:p w14:paraId="62B2F616" w14:textId="77777777" w:rsidR="00C56CD1" w:rsidRDefault="00DA00BA">
            <w:pPr>
              <w:pStyle w:val="normal0"/>
              <w:numPr>
                <w:ilvl w:val="0"/>
                <w:numId w:val="19"/>
              </w:numPr>
              <w:contextualSpacing/>
              <w:rPr>
                <w:rFonts w:ascii="Muli" w:eastAsia="Muli" w:hAnsi="Muli" w:cs="Muli"/>
                <w:sz w:val="20"/>
                <w:szCs w:val="20"/>
              </w:rPr>
            </w:pPr>
            <w:r>
              <w:rPr>
                <w:rFonts w:ascii="Muli" w:eastAsia="Muli" w:hAnsi="Muli" w:cs="Muli"/>
                <w:sz w:val="20"/>
                <w:szCs w:val="20"/>
              </w:rPr>
              <w:lastRenderedPageBreak/>
              <w:t xml:space="preserve">The </w:t>
            </w:r>
            <w:r>
              <w:rPr>
                <w:rFonts w:ascii="Muli" w:eastAsia="Muli" w:hAnsi="Muli" w:cs="Muli"/>
                <w:b/>
                <w:color w:val="FF126D"/>
                <w:sz w:val="20"/>
                <w:szCs w:val="20"/>
              </w:rPr>
              <w:t>Module Contents</w:t>
            </w:r>
            <w:r>
              <w:rPr>
                <w:rFonts w:ascii="Muli" w:eastAsia="Muli" w:hAnsi="Muli" w:cs="Muli"/>
                <w:sz w:val="20"/>
                <w:szCs w:val="20"/>
              </w:rPr>
              <w:t xml:space="preserve"> helps teachers identify the sequence of three dimensions addressed in The Red List and states how they build on each other. For example, students begin by researching patterns of behavior that increase the lik</w:t>
            </w:r>
            <w:r>
              <w:rPr>
                <w:rFonts w:ascii="Muli" w:eastAsia="Muli" w:hAnsi="Muli" w:cs="Muli"/>
                <w:sz w:val="20"/>
                <w:szCs w:val="20"/>
              </w:rPr>
              <w:t>elihood of successful reproduction. They go on to learn about genetics and heredity, creating a chromosome model of a butterfly, and understand how parents pass traits to their offspring. They analyze scientific studies showing how environmental factors af</w:t>
            </w:r>
            <w:r>
              <w:rPr>
                <w:rFonts w:ascii="Muli" w:eastAsia="Muli" w:hAnsi="Muli" w:cs="Muli"/>
                <w:sz w:val="20"/>
                <w:szCs w:val="20"/>
              </w:rPr>
              <w:t xml:space="preserve">fect growth in populations, and finally use their learning from the module to develop a conservation plan for their chosen species. </w:t>
            </w:r>
          </w:p>
        </w:tc>
        <w:tc>
          <w:tcPr>
            <w:tcW w:w="4955" w:type="dxa"/>
          </w:tcPr>
          <w:p w14:paraId="06978A0E" w14:textId="77777777" w:rsidR="00C56CD1" w:rsidRDefault="00DA00BA">
            <w:pPr>
              <w:pStyle w:val="normal0"/>
              <w:ind w:left="90"/>
              <w:rPr>
                <w:rFonts w:ascii="Muli" w:eastAsia="Muli" w:hAnsi="Muli" w:cs="Muli"/>
                <w:color w:val="FF126D"/>
                <w:sz w:val="20"/>
                <w:szCs w:val="20"/>
              </w:rPr>
            </w:pPr>
            <w:r>
              <w:rPr>
                <w:rFonts w:ascii="Muli" w:eastAsia="Muli" w:hAnsi="Muli" w:cs="Muli"/>
                <w:noProof/>
                <w:color w:val="FF126D"/>
                <w:sz w:val="20"/>
                <w:szCs w:val="20"/>
              </w:rPr>
              <w:drawing>
                <wp:inline distT="114300" distB="114300" distL="114300" distR="114300" wp14:anchorId="0AC3585E" wp14:editId="0321B258">
                  <wp:extent cx="2328385" cy="2824163"/>
                  <wp:effectExtent l="12700" t="12700" r="12700" b="12700"/>
                  <wp:docPr id="4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3"/>
                          <a:srcRect/>
                          <a:stretch>
                            <a:fillRect/>
                          </a:stretch>
                        </pic:blipFill>
                        <pic:spPr>
                          <a:xfrm>
                            <a:off x="0" y="0"/>
                            <a:ext cx="2328385" cy="2824163"/>
                          </a:xfrm>
                          <a:prstGeom prst="rect">
                            <a:avLst/>
                          </a:prstGeom>
                          <a:ln w="12700">
                            <a:solidFill>
                              <a:srgbClr val="D9D9D9"/>
                            </a:solidFill>
                            <a:prstDash val="solid"/>
                          </a:ln>
                        </pic:spPr>
                      </pic:pic>
                    </a:graphicData>
                  </a:graphic>
                </wp:inline>
              </w:drawing>
            </w:r>
          </w:p>
          <w:p w14:paraId="7E97E950" w14:textId="77777777" w:rsidR="00C56CD1" w:rsidRDefault="00DA00BA">
            <w:pPr>
              <w:pStyle w:val="normal0"/>
              <w:ind w:left="180"/>
              <w:rPr>
                <w:rFonts w:ascii="Muli" w:eastAsia="Muli" w:hAnsi="Muli" w:cs="Muli"/>
                <w:color w:val="FF126D"/>
                <w:sz w:val="20"/>
                <w:szCs w:val="20"/>
              </w:rPr>
            </w:pPr>
            <w:r>
              <w:rPr>
                <w:rFonts w:ascii="Muli" w:eastAsia="Muli" w:hAnsi="Muli" w:cs="Muli"/>
                <w:b/>
                <w:color w:val="FF126D"/>
                <w:sz w:val="20"/>
                <w:szCs w:val="20"/>
              </w:rPr>
              <w:t>Table of Contents</w:t>
            </w:r>
          </w:p>
        </w:tc>
      </w:tr>
      <w:tr w:rsidR="00C56CD1" w14:paraId="0D1F44F2" w14:textId="77777777">
        <w:trPr>
          <w:trHeight w:val="800"/>
        </w:trPr>
        <w:tc>
          <w:tcPr>
            <w:tcW w:w="8910" w:type="dxa"/>
            <w:tcMar>
              <w:top w:w="99" w:type="dxa"/>
              <w:left w:w="99" w:type="dxa"/>
              <w:bottom w:w="99" w:type="dxa"/>
              <w:right w:w="99" w:type="dxa"/>
            </w:tcMar>
          </w:tcPr>
          <w:p w14:paraId="0C6E3798" w14:textId="77777777" w:rsidR="00C56CD1" w:rsidRDefault="00DA00BA">
            <w:pPr>
              <w:pStyle w:val="normal0"/>
              <w:numPr>
                <w:ilvl w:val="0"/>
                <w:numId w:val="19"/>
              </w:numPr>
              <w:contextualSpacing/>
              <w:rPr>
                <w:rFonts w:ascii="Muli" w:eastAsia="Muli" w:hAnsi="Muli" w:cs="Muli"/>
                <w:sz w:val="20"/>
                <w:szCs w:val="20"/>
              </w:rPr>
            </w:pPr>
            <w:r>
              <w:rPr>
                <w:rFonts w:ascii="Muli" w:eastAsia="Muli" w:hAnsi="Muli" w:cs="Muli"/>
                <w:sz w:val="20"/>
                <w:szCs w:val="20"/>
              </w:rPr>
              <w:t xml:space="preserve">More detail is provided in each </w:t>
            </w:r>
            <w:r>
              <w:rPr>
                <w:rFonts w:ascii="Muli" w:eastAsia="Muli" w:hAnsi="Muli" w:cs="Muli"/>
                <w:b/>
                <w:color w:val="FF126D"/>
                <w:sz w:val="20"/>
                <w:szCs w:val="20"/>
              </w:rPr>
              <w:t>Driving Question Overview</w:t>
            </w:r>
            <w:r>
              <w:rPr>
                <w:rFonts w:ascii="Muli" w:eastAsia="Muli" w:hAnsi="Muli" w:cs="Muli"/>
                <w:sz w:val="20"/>
                <w:szCs w:val="20"/>
              </w:rPr>
              <w:t xml:space="preserve"> which tells the story of how the students will sequentially use the three dimensions in each lesson in the Driving Question to answer the question posed. For example, in DQ2, students use texts and videos to learn about the structure and function of repro</w:t>
            </w:r>
            <w:r>
              <w:rPr>
                <w:rFonts w:ascii="Muli" w:eastAsia="Muli" w:hAnsi="Muli" w:cs="Muli"/>
                <w:sz w:val="20"/>
                <w:szCs w:val="20"/>
              </w:rPr>
              <w:t xml:space="preserve">ductive parts, and build chromosome models that help them understand about the inheritance of traits. This knowledge prepares them for obtaining, evaluating, and communicating information about how their endangered species reproduces. </w:t>
            </w:r>
          </w:p>
        </w:tc>
        <w:tc>
          <w:tcPr>
            <w:tcW w:w="4955" w:type="dxa"/>
          </w:tcPr>
          <w:p w14:paraId="7B577637" w14:textId="77777777" w:rsidR="00C56CD1" w:rsidRDefault="00DA00BA">
            <w:pPr>
              <w:pStyle w:val="normal0"/>
              <w:ind w:left="90"/>
              <w:rPr>
                <w:rFonts w:ascii="Muli" w:eastAsia="Muli" w:hAnsi="Muli" w:cs="Muli"/>
                <w:color w:val="FF126D"/>
                <w:sz w:val="20"/>
                <w:szCs w:val="20"/>
              </w:rPr>
            </w:pPr>
            <w:r>
              <w:rPr>
                <w:rFonts w:ascii="Muli" w:eastAsia="Muli" w:hAnsi="Muli" w:cs="Muli"/>
                <w:noProof/>
                <w:color w:val="FF126D"/>
                <w:sz w:val="20"/>
                <w:szCs w:val="20"/>
              </w:rPr>
              <w:drawing>
                <wp:inline distT="114300" distB="114300" distL="114300" distR="114300" wp14:anchorId="3EC3832E" wp14:editId="6D8C51CE">
                  <wp:extent cx="2557463" cy="2976432"/>
                  <wp:effectExtent l="12700" t="12700" r="12700" b="12700"/>
                  <wp:docPr id="2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4"/>
                          <a:srcRect/>
                          <a:stretch>
                            <a:fillRect/>
                          </a:stretch>
                        </pic:blipFill>
                        <pic:spPr>
                          <a:xfrm>
                            <a:off x="0" y="0"/>
                            <a:ext cx="2557463" cy="2976432"/>
                          </a:xfrm>
                          <a:prstGeom prst="rect">
                            <a:avLst/>
                          </a:prstGeom>
                          <a:ln w="12700">
                            <a:solidFill>
                              <a:srgbClr val="D9D9D9"/>
                            </a:solidFill>
                            <a:prstDash val="solid"/>
                          </a:ln>
                        </pic:spPr>
                      </pic:pic>
                    </a:graphicData>
                  </a:graphic>
                </wp:inline>
              </w:drawing>
            </w:r>
          </w:p>
          <w:p w14:paraId="655F1E6E" w14:textId="77777777" w:rsidR="00C56CD1" w:rsidRDefault="00DA00BA">
            <w:pPr>
              <w:pStyle w:val="normal0"/>
              <w:ind w:left="90"/>
              <w:rPr>
                <w:rFonts w:ascii="Muli" w:eastAsia="Muli" w:hAnsi="Muli" w:cs="Muli"/>
                <w:color w:val="FF126D"/>
                <w:sz w:val="20"/>
                <w:szCs w:val="20"/>
              </w:rPr>
            </w:pPr>
            <w:r>
              <w:rPr>
                <w:rFonts w:ascii="Muli" w:eastAsia="Muli" w:hAnsi="Muli" w:cs="Muli"/>
                <w:b/>
                <w:color w:val="FF126D"/>
                <w:sz w:val="20"/>
                <w:szCs w:val="20"/>
              </w:rPr>
              <w:t>Driving Question O</w:t>
            </w:r>
            <w:r>
              <w:rPr>
                <w:rFonts w:ascii="Muli" w:eastAsia="Muli" w:hAnsi="Muli" w:cs="Muli"/>
                <w:b/>
                <w:color w:val="FF126D"/>
                <w:sz w:val="20"/>
                <w:szCs w:val="20"/>
              </w:rPr>
              <w:t>verview</w:t>
            </w:r>
          </w:p>
        </w:tc>
      </w:tr>
      <w:tr w:rsidR="00C56CD1" w14:paraId="28AA3F15" w14:textId="77777777">
        <w:trPr>
          <w:trHeight w:val="800"/>
        </w:trPr>
        <w:tc>
          <w:tcPr>
            <w:tcW w:w="8910" w:type="dxa"/>
            <w:tcMar>
              <w:top w:w="99" w:type="dxa"/>
              <w:left w:w="99" w:type="dxa"/>
              <w:bottom w:w="99" w:type="dxa"/>
              <w:right w:w="99" w:type="dxa"/>
            </w:tcMar>
          </w:tcPr>
          <w:p w14:paraId="03A4A95F" w14:textId="77777777" w:rsidR="00C56CD1" w:rsidRDefault="00DA00BA">
            <w:pPr>
              <w:pStyle w:val="normal0"/>
              <w:numPr>
                <w:ilvl w:val="0"/>
                <w:numId w:val="19"/>
              </w:numPr>
              <w:contextualSpacing/>
              <w:rPr>
                <w:rFonts w:ascii="Muli" w:eastAsia="Muli" w:hAnsi="Muli" w:cs="Muli"/>
                <w:sz w:val="20"/>
                <w:szCs w:val="20"/>
              </w:rPr>
            </w:pPr>
            <w:r>
              <w:rPr>
                <w:rFonts w:ascii="Muli" w:eastAsia="Muli" w:hAnsi="Muli" w:cs="Muli"/>
                <w:sz w:val="20"/>
                <w:szCs w:val="20"/>
              </w:rPr>
              <w:lastRenderedPageBreak/>
              <w:t xml:space="preserve">The </w:t>
            </w:r>
            <w:r>
              <w:rPr>
                <w:rFonts w:ascii="Muli" w:eastAsia="Muli" w:hAnsi="Muli" w:cs="Muli"/>
                <w:b/>
                <w:color w:val="FF126D"/>
                <w:sz w:val="20"/>
                <w:szCs w:val="20"/>
              </w:rPr>
              <w:t>Lesson Overview</w:t>
            </w:r>
            <w:r>
              <w:rPr>
                <w:rFonts w:ascii="Muli" w:eastAsia="Muli" w:hAnsi="Muli" w:cs="Muli"/>
                <w:sz w:val="20"/>
                <w:szCs w:val="20"/>
              </w:rPr>
              <w:t xml:space="preserve"> page identifies the dimensions used in each lesson, while the graphic organizer details how the dimensions relate to the learning experience. For example, in DQ2L3 TE p. 112, the overview explains that students will develop a m</w:t>
            </w:r>
            <w:r>
              <w:rPr>
                <w:rFonts w:ascii="Muli" w:eastAsia="Muli" w:hAnsi="Muli" w:cs="Muli"/>
                <w:sz w:val="20"/>
                <w:szCs w:val="20"/>
              </w:rPr>
              <w:t xml:space="preserve">odel of Mendel’s pea plant breeding experiments. They will share their models, discuss how genetics affect plants and animals, and reflect on whether Mendel’s pea plants reproduce sexually or asexually. </w:t>
            </w:r>
          </w:p>
        </w:tc>
        <w:tc>
          <w:tcPr>
            <w:tcW w:w="4955" w:type="dxa"/>
          </w:tcPr>
          <w:p w14:paraId="5F02507D" w14:textId="77777777" w:rsidR="00C56CD1" w:rsidRDefault="00DA00BA">
            <w:pPr>
              <w:pStyle w:val="normal0"/>
              <w:ind w:left="90"/>
              <w:rPr>
                <w:rFonts w:ascii="Muli" w:eastAsia="Muli" w:hAnsi="Muli" w:cs="Muli"/>
                <w:color w:val="FF126D"/>
                <w:sz w:val="20"/>
                <w:szCs w:val="20"/>
              </w:rPr>
            </w:pPr>
            <w:r>
              <w:rPr>
                <w:rFonts w:ascii="Muli" w:eastAsia="Muli" w:hAnsi="Muli" w:cs="Muli"/>
                <w:noProof/>
                <w:color w:val="FF126D"/>
                <w:sz w:val="20"/>
                <w:szCs w:val="20"/>
              </w:rPr>
              <w:drawing>
                <wp:inline distT="114300" distB="114300" distL="114300" distR="114300" wp14:anchorId="3B2B315D" wp14:editId="03119B6C">
                  <wp:extent cx="3014663" cy="1310324"/>
                  <wp:effectExtent l="12700" t="12700" r="12700" b="12700"/>
                  <wp:docPr id="54"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5"/>
                          <a:srcRect/>
                          <a:stretch>
                            <a:fillRect/>
                          </a:stretch>
                        </pic:blipFill>
                        <pic:spPr>
                          <a:xfrm>
                            <a:off x="0" y="0"/>
                            <a:ext cx="3014663" cy="1310324"/>
                          </a:xfrm>
                          <a:prstGeom prst="rect">
                            <a:avLst/>
                          </a:prstGeom>
                          <a:ln w="12700">
                            <a:solidFill>
                              <a:srgbClr val="CCCCCC"/>
                            </a:solidFill>
                            <a:prstDash val="solid"/>
                          </a:ln>
                        </pic:spPr>
                      </pic:pic>
                    </a:graphicData>
                  </a:graphic>
                </wp:inline>
              </w:drawing>
            </w:r>
          </w:p>
          <w:p w14:paraId="76D6C757" w14:textId="77777777" w:rsidR="00C56CD1" w:rsidRDefault="00DA00BA">
            <w:pPr>
              <w:pStyle w:val="normal0"/>
              <w:ind w:firstLine="90"/>
              <w:rPr>
                <w:rFonts w:ascii="Muli" w:eastAsia="Muli" w:hAnsi="Muli" w:cs="Muli"/>
                <w:color w:val="FF126D"/>
                <w:sz w:val="20"/>
                <w:szCs w:val="20"/>
              </w:rPr>
            </w:pPr>
            <w:r>
              <w:rPr>
                <w:rFonts w:ascii="Muli" w:eastAsia="Muli" w:hAnsi="Muli" w:cs="Muli"/>
                <w:b/>
                <w:color w:val="FF126D"/>
                <w:sz w:val="20"/>
                <w:szCs w:val="20"/>
              </w:rPr>
              <w:t>Lesson Overview TE p. 112</w:t>
            </w:r>
          </w:p>
        </w:tc>
      </w:tr>
    </w:tbl>
    <w:p w14:paraId="2642C074" w14:textId="77777777" w:rsidR="00C56CD1" w:rsidRDefault="00DA00BA">
      <w:pPr>
        <w:pStyle w:val="normal0"/>
        <w:spacing w:line="276" w:lineRule="auto"/>
        <w:ind w:left="90"/>
        <w:rPr>
          <w:rFonts w:ascii="Muli" w:eastAsia="Muli" w:hAnsi="Muli" w:cs="Muli"/>
          <w:sz w:val="20"/>
          <w:szCs w:val="20"/>
        </w:rPr>
      </w:pPr>
      <w:r>
        <w:br w:type="page"/>
      </w:r>
    </w:p>
    <w:p w14:paraId="69DDE1FA" w14:textId="77777777" w:rsidR="00C56CD1" w:rsidRDefault="00C56CD1">
      <w:pPr>
        <w:pStyle w:val="normal0"/>
        <w:spacing w:line="276" w:lineRule="auto"/>
        <w:ind w:left="90"/>
        <w:rPr>
          <w:rFonts w:ascii="Muli" w:eastAsia="Muli" w:hAnsi="Muli" w:cs="Muli"/>
          <w:sz w:val="20"/>
          <w:szCs w:val="20"/>
        </w:rPr>
      </w:pPr>
    </w:p>
    <w:tbl>
      <w:tblPr>
        <w:tblStyle w:val="a2"/>
        <w:tblW w:w="16455" w:type="dxa"/>
        <w:tblInd w:w="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6455"/>
      </w:tblGrid>
      <w:tr w:rsidR="00C56CD1" w14:paraId="45FB2BE3" w14:textId="77777777">
        <w:trPr>
          <w:trHeight w:val="760"/>
        </w:trPr>
        <w:tc>
          <w:tcPr>
            <w:tcW w:w="13875" w:type="dxa"/>
            <w:shd w:val="clear" w:color="auto" w:fill="2F5496"/>
          </w:tcPr>
          <w:p w14:paraId="00332ABC" w14:textId="77777777" w:rsidR="00C56CD1" w:rsidRDefault="00DA00BA">
            <w:pPr>
              <w:pStyle w:val="normal0"/>
              <w:spacing w:before="222"/>
              <w:ind w:left="90"/>
              <w:rPr>
                <w:rFonts w:ascii="Muli" w:eastAsia="Muli" w:hAnsi="Muli" w:cs="Muli"/>
                <w:b/>
                <w:color w:val="FFFFFF"/>
                <w:sz w:val="24"/>
                <w:szCs w:val="24"/>
              </w:rPr>
            </w:pPr>
            <w:r>
              <w:rPr>
                <w:rFonts w:ascii="Muli" w:eastAsia="Muli" w:hAnsi="Muli" w:cs="Muli"/>
                <w:b/>
                <w:color w:val="FFFFFF"/>
                <w:sz w:val="24"/>
                <w:szCs w:val="24"/>
              </w:rPr>
              <w:t>Designed for the NGSS: Foundations Teacher Support Evidence Chart</w:t>
            </w:r>
          </w:p>
        </w:tc>
      </w:tr>
    </w:tbl>
    <w:p w14:paraId="4FCF8925" w14:textId="77777777" w:rsidR="00C56CD1" w:rsidRDefault="00C56CD1">
      <w:pPr>
        <w:pStyle w:val="normal0"/>
        <w:pBdr>
          <w:top w:val="nil"/>
          <w:left w:val="nil"/>
          <w:bottom w:val="nil"/>
          <w:right w:val="nil"/>
          <w:between w:val="nil"/>
        </w:pBdr>
        <w:spacing w:before="8"/>
        <w:ind w:left="90"/>
        <w:rPr>
          <w:rFonts w:ascii="Muli" w:eastAsia="Muli" w:hAnsi="Muli" w:cs="Muli"/>
          <w:color w:val="000000"/>
        </w:rPr>
      </w:pPr>
    </w:p>
    <w:tbl>
      <w:tblPr>
        <w:tblStyle w:val="a3"/>
        <w:tblW w:w="13890"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0"/>
        <w:gridCol w:w="1230"/>
        <w:gridCol w:w="1455"/>
        <w:gridCol w:w="1005"/>
      </w:tblGrid>
      <w:tr w:rsidR="00C56CD1" w14:paraId="413B1048" w14:textId="77777777">
        <w:trPr>
          <w:trHeight w:val="440"/>
        </w:trPr>
        <w:tc>
          <w:tcPr>
            <w:tcW w:w="10200" w:type="dxa"/>
            <w:shd w:val="clear" w:color="auto" w:fill="FF126D"/>
            <w:tcMar>
              <w:top w:w="99" w:type="dxa"/>
              <w:left w:w="99" w:type="dxa"/>
              <w:bottom w:w="99" w:type="dxa"/>
              <w:right w:w="99" w:type="dxa"/>
            </w:tcMar>
          </w:tcPr>
          <w:p w14:paraId="67CD24F5" w14:textId="77777777" w:rsidR="00C56CD1" w:rsidRDefault="00DA00BA">
            <w:pPr>
              <w:pStyle w:val="normal0"/>
              <w:spacing w:before="1"/>
              <w:ind w:left="90" w:right="150"/>
              <w:rPr>
                <w:rFonts w:ascii="Muli" w:eastAsia="Muli" w:hAnsi="Muli" w:cs="Muli"/>
                <w:b/>
                <w:sz w:val="20"/>
                <w:szCs w:val="20"/>
              </w:rPr>
            </w:pPr>
            <w:r>
              <w:rPr>
                <w:rFonts w:ascii="Muli" w:eastAsia="Muli" w:hAnsi="Muli" w:cs="Muli"/>
                <w:b/>
                <w:color w:val="FFFFFF"/>
                <w:sz w:val="20"/>
                <w:szCs w:val="20"/>
              </w:rPr>
              <w:t>Teacher materials…</w:t>
            </w:r>
          </w:p>
        </w:tc>
        <w:tc>
          <w:tcPr>
            <w:tcW w:w="1230" w:type="dxa"/>
            <w:shd w:val="clear" w:color="auto" w:fill="FF126D"/>
            <w:tcMar>
              <w:top w:w="99" w:type="dxa"/>
              <w:left w:w="99" w:type="dxa"/>
              <w:bottom w:w="99" w:type="dxa"/>
              <w:right w:w="99" w:type="dxa"/>
            </w:tcMar>
          </w:tcPr>
          <w:p w14:paraId="440FC703" w14:textId="77777777" w:rsidR="00C56CD1" w:rsidRDefault="00DA00BA">
            <w:pPr>
              <w:pStyle w:val="normal0"/>
              <w:spacing w:before="1"/>
              <w:ind w:left="90" w:right="150"/>
              <w:rPr>
                <w:rFonts w:ascii="Muli" w:eastAsia="Muli" w:hAnsi="Muli" w:cs="Muli"/>
                <w:b/>
                <w:sz w:val="20"/>
                <w:szCs w:val="20"/>
              </w:rPr>
            </w:pPr>
            <w:r>
              <w:rPr>
                <w:rFonts w:ascii="Muli" w:eastAsia="Muli" w:hAnsi="Muli" w:cs="Muli"/>
                <w:b/>
                <w:color w:val="FFFFFF"/>
                <w:sz w:val="20"/>
                <w:szCs w:val="20"/>
              </w:rPr>
              <w:t>Strong</w:t>
            </w:r>
          </w:p>
        </w:tc>
        <w:tc>
          <w:tcPr>
            <w:tcW w:w="1455" w:type="dxa"/>
            <w:shd w:val="clear" w:color="auto" w:fill="FF126D"/>
            <w:tcMar>
              <w:top w:w="99" w:type="dxa"/>
              <w:left w:w="99" w:type="dxa"/>
              <w:bottom w:w="99" w:type="dxa"/>
              <w:right w:w="99" w:type="dxa"/>
            </w:tcMar>
          </w:tcPr>
          <w:p w14:paraId="2C52892B" w14:textId="77777777" w:rsidR="00C56CD1" w:rsidRDefault="00DA00BA">
            <w:pPr>
              <w:pStyle w:val="normal0"/>
              <w:spacing w:before="1"/>
              <w:ind w:left="90" w:right="150"/>
              <w:rPr>
                <w:rFonts w:ascii="Muli" w:eastAsia="Muli" w:hAnsi="Muli" w:cs="Muli"/>
                <w:b/>
                <w:sz w:val="20"/>
                <w:szCs w:val="20"/>
              </w:rPr>
            </w:pPr>
            <w:r>
              <w:rPr>
                <w:rFonts w:ascii="Muli" w:eastAsia="Muli" w:hAnsi="Muli" w:cs="Muli"/>
                <w:b/>
                <w:color w:val="FFFFFF"/>
                <w:sz w:val="20"/>
                <w:szCs w:val="20"/>
              </w:rPr>
              <w:t>Adequate</w:t>
            </w:r>
          </w:p>
        </w:tc>
        <w:tc>
          <w:tcPr>
            <w:tcW w:w="1005" w:type="dxa"/>
            <w:shd w:val="clear" w:color="auto" w:fill="FF126D"/>
            <w:tcMar>
              <w:top w:w="99" w:type="dxa"/>
              <w:left w:w="99" w:type="dxa"/>
              <w:bottom w:w="99" w:type="dxa"/>
              <w:right w:w="99" w:type="dxa"/>
            </w:tcMar>
          </w:tcPr>
          <w:p w14:paraId="7565109B" w14:textId="77777777" w:rsidR="00C56CD1" w:rsidRDefault="00DA00BA">
            <w:pPr>
              <w:pStyle w:val="normal0"/>
              <w:spacing w:before="1"/>
              <w:ind w:left="90" w:right="150"/>
              <w:rPr>
                <w:rFonts w:ascii="Muli" w:eastAsia="Muli" w:hAnsi="Muli" w:cs="Muli"/>
                <w:b/>
                <w:sz w:val="20"/>
                <w:szCs w:val="20"/>
              </w:rPr>
            </w:pPr>
            <w:r>
              <w:rPr>
                <w:rFonts w:ascii="Muli" w:eastAsia="Muli" w:hAnsi="Muli" w:cs="Muli"/>
                <w:b/>
                <w:color w:val="FFFFFF"/>
                <w:sz w:val="20"/>
                <w:szCs w:val="20"/>
              </w:rPr>
              <w:t>Weak</w:t>
            </w:r>
          </w:p>
        </w:tc>
      </w:tr>
      <w:tr w:rsidR="00C56CD1" w14:paraId="4B890414" w14:textId="77777777">
        <w:trPr>
          <w:trHeight w:val="680"/>
        </w:trPr>
        <w:tc>
          <w:tcPr>
            <w:tcW w:w="10200" w:type="dxa"/>
            <w:tcMar>
              <w:top w:w="99" w:type="dxa"/>
              <w:left w:w="99" w:type="dxa"/>
              <w:bottom w:w="99" w:type="dxa"/>
              <w:right w:w="99" w:type="dxa"/>
            </w:tcMar>
          </w:tcPr>
          <w:p w14:paraId="11EC6B4F" w14:textId="77777777" w:rsidR="00C56CD1" w:rsidRDefault="00DA00BA">
            <w:pPr>
              <w:pStyle w:val="normal0"/>
              <w:pBdr>
                <w:top w:val="nil"/>
                <w:left w:val="nil"/>
                <w:bottom w:val="nil"/>
                <w:right w:val="nil"/>
                <w:between w:val="nil"/>
              </w:pBdr>
              <w:spacing w:before="1"/>
              <w:ind w:left="90" w:right="423"/>
              <w:rPr>
                <w:rFonts w:ascii="Muli" w:eastAsia="Muli" w:hAnsi="Muli" w:cs="Muli"/>
                <w:color w:val="000000"/>
                <w:sz w:val="20"/>
                <w:szCs w:val="20"/>
              </w:rPr>
            </w:pPr>
            <w:r>
              <w:rPr>
                <w:rFonts w:ascii="Muli" w:eastAsia="Muli" w:hAnsi="Muli" w:cs="Muli"/>
                <w:b/>
                <w:color w:val="000000"/>
                <w:sz w:val="20"/>
                <w:szCs w:val="20"/>
              </w:rPr>
              <w:t xml:space="preserve">SW1. Phenomena/Problems. </w:t>
            </w:r>
            <w:r>
              <w:rPr>
                <w:rFonts w:ascii="Muli" w:eastAsia="Muli" w:hAnsi="Muli" w:cs="Muli"/>
                <w:color w:val="000000"/>
                <w:sz w:val="20"/>
                <w:szCs w:val="20"/>
              </w:rPr>
              <w:t>Provide support and strategies for how to help students figure out/solve authentic and relevant phenomena/problems using the three dimensions.</w:t>
            </w:r>
          </w:p>
        </w:tc>
        <w:tc>
          <w:tcPr>
            <w:tcW w:w="1230" w:type="dxa"/>
            <w:tcMar>
              <w:top w:w="99" w:type="dxa"/>
              <w:left w:w="99" w:type="dxa"/>
              <w:bottom w:w="99" w:type="dxa"/>
              <w:right w:w="99" w:type="dxa"/>
            </w:tcMar>
          </w:tcPr>
          <w:p w14:paraId="35DD5E50" w14:textId="77777777" w:rsidR="00C56CD1" w:rsidRDefault="00DA00BA">
            <w:pPr>
              <w:pStyle w:val="normal0"/>
              <w:ind w:left="90"/>
              <w:jc w:val="center"/>
              <w:rPr>
                <w:rFonts w:ascii="Muli" w:eastAsia="Muli" w:hAnsi="Muli" w:cs="Muli"/>
                <w:sz w:val="56"/>
                <w:szCs w:val="56"/>
              </w:rPr>
            </w:pPr>
            <w:r>
              <w:rPr>
                <w:rFonts w:ascii="Arial Unicode MS" w:eastAsia="Arial Unicode MS" w:hAnsi="Arial Unicode MS" w:cs="Arial Unicode MS"/>
                <w:color w:val="FF126D"/>
                <w:sz w:val="56"/>
                <w:szCs w:val="56"/>
              </w:rPr>
              <w:t>✓</w:t>
            </w:r>
          </w:p>
        </w:tc>
        <w:tc>
          <w:tcPr>
            <w:tcW w:w="1455" w:type="dxa"/>
            <w:tcMar>
              <w:top w:w="99" w:type="dxa"/>
              <w:left w:w="99" w:type="dxa"/>
              <w:bottom w:w="99" w:type="dxa"/>
              <w:right w:w="99" w:type="dxa"/>
            </w:tcMar>
          </w:tcPr>
          <w:p w14:paraId="0877E7C7" w14:textId="77777777" w:rsidR="00C56CD1" w:rsidRDefault="00C56CD1">
            <w:pPr>
              <w:pStyle w:val="normal0"/>
              <w:pBdr>
                <w:top w:val="nil"/>
                <w:left w:val="nil"/>
                <w:bottom w:val="nil"/>
                <w:right w:val="nil"/>
                <w:between w:val="nil"/>
              </w:pBdr>
              <w:ind w:left="90"/>
              <w:rPr>
                <w:rFonts w:ascii="Muli" w:eastAsia="Muli" w:hAnsi="Muli" w:cs="Muli"/>
                <w:color w:val="000000"/>
              </w:rPr>
            </w:pPr>
          </w:p>
        </w:tc>
        <w:tc>
          <w:tcPr>
            <w:tcW w:w="1005" w:type="dxa"/>
            <w:tcMar>
              <w:top w:w="99" w:type="dxa"/>
              <w:left w:w="99" w:type="dxa"/>
              <w:bottom w:w="99" w:type="dxa"/>
              <w:right w:w="99" w:type="dxa"/>
            </w:tcMar>
          </w:tcPr>
          <w:p w14:paraId="7B03600E" w14:textId="77777777" w:rsidR="00C56CD1" w:rsidRDefault="00C56CD1">
            <w:pPr>
              <w:pStyle w:val="normal0"/>
              <w:pBdr>
                <w:top w:val="nil"/>
                <w:left w:val="nil"/>
                <w:bottom w:val="nil"/>
                <w:right w:val="nil"/>
                <w:between w:val="nil"/>
              </w:pBdr>
              <w:ind w:left="90"/>
              <w:rPr>
                <w:rFonts w:ascii="Muli" w:eastAsia="Muli" w:hAnsi="Muli" w:cs="Muli"/>
                <w:color w:val="000000"/>
              </w:rPr>
            </w:pPr>
          </w:p>
        </w:tc>
      </w:tr>
      <w:tr w:rsidR="00C56CD1" w14:paraId="7720A58B" w14:textId="77777777">
        <w:trPr>
          <w:trHeight w:val="400"/>
        </w:trPr>
        <w:tc>
          <w:tcPr>
            <w:tcW w:w="10200" w:type="dxa"/>
            <w:vMerge w:val="restart"/>
            <w:tcBorders>
              <w:bottom w:val="nil"/>
              <w:right w:val="nil"/>
            </w:tcBorders>
            <w:tcMar>
              <w:top w:w="99" w:type="dxa"/>
              <w:left w:w="99" w:type="dxa"/>
              <w:bottom w:w="99" w:type="dxa"/>
              <w:right w:w="99" w:type="dxa"/>
            </w:tcMar>
          </w:tcPr>
          <w:p w14:paraId="626E4B01" w14:textId="77777777" w:rsidR="00C56CD1" w:rsidRDefault="00DA00BA">
            <w:pPr>
              <w:pStyle w:val="normal0"/>
              <w:pBdr>
                <w:top w:val="nil"/>
                <w:left w:val="nil"/>
                <w:bottom w:val="nil"/>
                <w:right w:val="nil"/>
                <w:between w:val="nil"/>
              </w:pBdr>
              <w:spacing w:before="1"/>
              <w:ind w:left="90"/>
              <w:rPr>
                <w:rFonts w:ascii="Muli" w:eastAsia="Muli" w:hAnsi="Muli" w:cs="Muli"/>
                <w:color w:val="000000"/>
                <w:sz w:val="20"/>
                <w:szCs w:val="20"/>
              </w:rPr>
            </w:pPr>
            <w:r>
              <w:rPr>
                <w:rFonts w:ascii="Muli" w:eastAsia="Muli" w:hAnsi="Muli" w:cs="Muli"/>
                <w:b/>
                <w:color w:val="000000"/>
                <w:sz w:val="20"/>
                <w:szCs w:val="20"/>
              </w:rPr>
              <w:t xml:space="preserve">SW2. Three-dimensional Conceptual Framework. </w:t>
            </w:r>
            <w:r>
              <w:rPr>
                <w:rFonts w:ascii="Muli" w:eastAsia="Muli" w:hAnsi="Muli" w:cs="Muli"/>
                <w:color w:val="000000"/>
                <w:sz w:val="20"/>
                <w:szCs w:val="20"/>
              </w:rPr>
              <w:t>Provide support and strategies for how teachers</w:t>
            </w:r>
          </w:p>
          <w:p w14:paraId="3C405A1A" w14:textId="77777777" w:rsidR="00C56CD1" w:rsidRDefault="00DA00BA">
            <w:pPr>
              <w:pStyle w:val="normal0"/>
              <w:pBdr>
                <w:top w:val="nil"/>
                <w:left w:val="nil"/>
                <w:bottom w:val="nil"/>
                <w:right w:val="nil"/>
                <w:between w:val="nil"/>
              </w:pBdr>
              <w:tabs>
                <w:tab w:val="left" w:pos="834"/>
                <w:tab w:val="left" w:pos="900"/>
              </w:tabs>
              <w:spacing w:before="13"/>
              <w:ind w:left="90" w:right="640"/>
              <w:rPr>
                <w:rFonts w:ascii="Muli" w:eastAsia="Muli" w:hAnsi="Muli" w:cs="Muli"/>
                <w:color w:val="000000"/>
                <w:sz w:val="20"/>
                <w:szCs w:val="20"/>
              </w:rPr>
            </w:pPr>
            <w:r>
              <w:rPr>
                <w:rFonts w:ascii="Muli" w:eastAsia="Muli" w:hAnsi="Muli" w:cs="Muli"/>
                <w:color w:val="000000"/>
                <w:sz w:val="20"/>
                <w:szCs w:val="20"/>
              </w:rPr>
              <w:t>help students develop a conceptual framework of scientifically accurate understandings and abilities related to</w:t>
            </w:r>
          </w:p>
          <w:p w14:paraId="0BCD7123" w14:textId="77777777" w:rsidR="00C56CD1" w:rsidRDefault="00DA00BA">
            <w:pPr>
              <w:pStyle w:val="normal0"/>
              <w:numPr>
                <w:ilvl w:val="1"/>
                <w:numId w:val="15"/>
              </w:numPr>
              <w:spacing w:before="1" w:line="242" w:lineRule="auto"/>
              <w:contextualSpacing/>
              <w:rPr>
                <w:rFonts w:ascii="Muli" w:eastAsia="Muli" w:hAnsi="Muli" w:cs="Muli"/>
                <w:sz w:val="20"/>
                <w:szCs w:val="20"/>
              </w:rPr>
            </w:pPr>
            <w:r>
              <w:rPr>
                <w:rFonts w:ascii="Muli" w:eastAsia="Muli" w:hAnsi="Muli" w:cs="Muli"/>
                <w:sz w:val="20"/>
                <w:szCs w:val="20"/>
              </w:rPr>
              <w:t>DCIs, SEPs, and CCCs</w:t>
            </w:r>
          </w:p>
          <w:p w14:paraId="637A0F73" w14:textId="77777777" w:rsidR="00C56CD1" w:rsidRDefault="00DA00BA">
            <w:pPr>
              <w:pStyle w:val="normal0"/>
              <w:numPr>
                <w:ilvl w:val="1"/>
                <w:numId w:val="15"/>
              </w:numPr>
              <w:spacing w:line="242" w:lineRule="auto"/>
              <w:ind w:right="81"/>
              <w:contextualSpacing/>
              <w:rPr>
                <w:rFonts w:ascii="Muli" w:eastAsia="Muli" w:hAnsi="Muli" w:cs="Muli"/>
                <w:sz w:val="20"/>
                <w:szCs w:val="20"/>
              </w:rPr>
            </w:pPr>
            <w:r>
              <w:rPr>
                <w:rFonts w:ascii="Muli" w:eastAsia="Muli" w:hAnsi="Muli" w:cs="Muli"/>
                <w:sz w:val="20"/>
                <w:szCs w:val="20"/>
              </w:rPr>
              <w:t>NoS and ETS</w:t>
            </w:r>
          </w:p>
          <w:p w14:paraId="5CAF9068" w14:textId="77777777" w:rsidR="00C56CD1" w:rsidRDefault="00DA00BA">
            <w:pPr>
              <w:pStyle w:val="normal0"/>
              <w:numPr>
                <w:ilvl w:val="1"/>
                <w:numId w:val="15"/>
              </w:numPr>
              <w:spacing w:before="1" w:line="242" w:lineRule="auto"/>
              <w:ind w:right="81"/>
              <w:contextualSpacing/>
              <w:rPr>
                <w:rFonts w:ascii="Muli" w:eastAsia="Muli" w:hAnsi="Muli" w:cs="Muli"/>
                <w:sz w:val="20"/>
                <w:szCs w:val="20"/>
              </w:rPr>
            </w:pPr>
            <w:r>
              <w:rPr>
                <w:rFonts w:ascii="Muli" w:eastAsia="Muli" w:hAnsi="Muli" w:cs="Muli"/>
                <w:sz w:val="20"/>
                <w:szCs w:val="20"/>
              </w:rPr>
              <w:t>ELA and math</w:t>
            </w:r>
          </w:p>
          <w:p w14:paraId="5643D99F" w14:textId="77777777" w:rsidR="00C56CD1" w:rsidRDefault="00DA00BA">
            <w:pPr>
              <w:pStyle w:val="normal0"/>
              <w:numPr>
                <w:ilvl w:val="0"/>
                <w:numId w:val="15"/>
              </w:numPr>
              <w:tabs>
                <w:tab w:val="left" w:pos="834"/>
                <w:tab w:val="left" w:pos="835"/>
              </w:tabs>
              <w:spacing w:before="14"/>
              <w:ind w:right="143"/>
              <w:contextualSpacing/>
              <w:rPr>
                <w:rFonts w:ascii="Muli" w:eastAsia="Muli" w:hAnsi="Muli" w:cs="Muli"/>
                <w:sz w:val="20"/>
                <w:szCs w:val="20"/>
              </w:rPr>
            </w:pPr>
            <w:r>
              <w:rPr>
                <w:rFonts w:ascii="Muli" w:eastAsia="Muli" w:hAnsi="Muli" w:cs="Muli"/>
                <w:sz w:val="20"/>
                <w:szCs w:val="20"/>
              </w:rPr>
              <w:t>create a learning environment that values students’ ideas, motivates learning, and helps students negotiate new meaning as they interact with others’ ideas, new information, and new experiences.</w:t>
            </w:r>
          </w:p>
        </w:tc>
        <w:tc>
          <w:tcPr>
            <w:tcW w:w="1230" w:type="dxa"/>
            <w:vMerge w:val="restart"/>
            <w:tcMar>
              <w:top w:w="99" w:type="dxa"/>
              <w:left w:w="99" w:type="dxa"/>
              <w:bottom w:w="99" w:type="dxa"/>
              <w:right w:w="99" w:type="dxa"/>
            </w:tcMar>
          </w:tcPr>
          <w:p w14:paraId="04007B90" w14:textId="77777777" w:rsidR="00C56CD1" w:rsidRDefault="00DA00BA">
            <w:pPr>
              <w:pStyle w:val="normal0"/>
              <w:ind w:left="90"/>
              <w:jc w:val="center"/>
              <w:rPr>
                <w:rFonts w:ascii="Muli" w:eastAsia="Muli" w:hAnsi="Muli" w:cs="Muli"/>
                <w:sz w:val="56"/>
                <w:szCs w:val="56"/>
              </w:rPr>
            </w:pPr>
            <w:r>
              <w:rPr>
                <w:rFonts w:ascii="Arial Unicode MS" w:eastAsia="Arial Unicode MS" w:hAnsi="Arial Unicode MS" w:cs="Arial Unicode MS"/>
                <w:color w:val="FF126D"/>
                <w:sz w:val="56"/>
                <w:szCs w:val="56"/>
              </w:rPr>
              <w:t>✓</w:t>
            </w:r>
          </w:p>
        </w:tc>
        <w:tc>
          <w:tcPr>
            <w:tcW w:w="1455" w:type="dxa"/>
            <w:vMerge w:val="restart"/>
            <w:tcMar>
              <w:top w:w="99" w:type="dxa"/>
              <w:left w:w="99" w:type="dxa"/>
              <w:bottom w:w="99" w:type="dxa"/>
              <w:right w:w="99" w:type="dxa"/>
            </w:tcMar>
          </w:tcPr>
          <w:p w14:paraId="2190EBC7" w14:textId="77777777" w:rsidR="00C56CD1" w:rsidRDefault="00C56CD1">
            <w:pPr>
              <w:pStyle w:val="normal0"/>
              <w:pBdr>
                <w:top w:val="nil"/>
                <w:left w:val="nil"/>
                <w:bottom w:val="nil"/>
                <w:right w:val="nil"/>
                <w:between w:val="nil"/>
              </w:pBdr>
              <w:ind w:left="90"/>
              <w:rPr>
                <w:rFonts w:ascii="Muli" w:eastAsia="Muli" w:hAnsi="Muli" w:cs="Muli"/>
                <w:color w:val="000000"/>
              </w:rPr>
            </w:pPr>
          </w:p>
        </w:tc>
        <w:tc>
          <w:tcPr>
            <w:tcW w:w="1005" w:type="dxa"/>
            <w:vMerge w:val="restart"/>
            <w:tcMar>
              <w:top w:w="99" w:type="dxa"/>
              <w:left w:w="99" w:type="dxa"/>
              <w:bottom w:w="99" w:type="dxa"/>
              <w:right w:w="99" w:type="dxa"/>
            </w:tcMar>
          </w:tcPr>
          <w:p w14:paraId="4FB1E811" w14:textId="77777777" w:rsidR="00C56CD1" w:rsidRDefault="00C56CD1">
            <w:pPr>
              <w:pStyle w:val="normal0"/>
              <w:pBdr>
                <w:top w:val="nil"/>
                <w:left w:val="nil"/>
                <w:bottom w:val="nil"/>
                <w:right w:val="nil"/>
                <w:between w:val="nil"/>
              </w:pBdr>
              <w:ind w:left="90"/>
              <w:rPr>
                <w:rFonts w:ascii="Muli" w:eastAsia="Muli" w:hAnsi="Muli" w:cs="Muli"/>
                <w:color w:val="000000"/>
              </w:rPr>
            </w:pPr>
          </w:p>
        </w:tc>
      </w:tr>
      <w:tr w:rsidR="00C56CD1" w14:paraId="7F48C67B" w14:textId="77777777">
        <w:trPr>
          <w:trHeight w:val="400"/>
        </w:trPr>
        <w:tc>
          <w:tcPr>
            <w:tcW w:w="10200" w:type="dxa"/>
            <w:vMerge/>
            <w:tcBorders>
              <w:bottom w:val="nil"/>
              <w:right w:val="nil"/>
            </w:tcBorders>
            <w:tcMar>
              <w:top w:w="99" w:type="dxa"/>
              <w:left w:w="99" w:type="dxa"/>
              <w:bottom w:w="99" w:type="dxa"/>
              <w:right w:w="99" w:type="dxa"/>
            </w:tcMar>
          </w:tcPr>
          <w:p w14:paraId="3A7BCFBD" w14:textId="77777777" w:rsidR="00C56CD1" w:rsidRDefault="00C56CD1">
            <w:pPr>
              <w:pStyle w:val="normal0"/>
              <w:pBdr>
                <w:top w:val="nil"/>
                <w:left w:val="nil"/>
                <w:bottom w:val="nil"/>
                <w:right w:val="nil"/>
                <w:between w:val="nil"/>
              </w:pBdr>
              <w:ind w:left="90"/>
              <w:rPr>
                <w:rFonts w:ascii="Muli" w:eastAsia="Muli" w:hAnsi="Muli" w:cs="Muli"/>
                <w:color w:val="000000"/>
              </w:rPr>
            </w:pPr>
          </w:p>
        </w:tc>
        <w:tc>
          <w:tcPr>
            <w:tcW w:w="1230" w:type="dxa"/>
            <w:vMerge/>
            <w:tcMar>
              <w:top w:w="99" w:type="dxa"/>
              <w:left w:w="99" w:type="dxa"/>
              <w:bottom w:w="99" w:type="dxa"/>
              <w:right w:w="99" w:type="dxa"/>
            </w:tcMar>
          </w:tcPr>
          <w:p w14:paraId="3ADD6472" w14:textId="77777777" w:rsidR="00C56CD1" w:rsidRDefault="00C56CD1">
            <w:pPr>
              <w:pStyle w:val="normal0"/>
              <w:pBdr>
                <w:top w:val="nil"/>
                <w:left w:val="nil"/>
                <w:bottom w:val="nil"/>
                <w:right w:val="nil"/>
                <w:between w:val="nil"/>
              </w:pBdr>
              <w:ind w:left="90"/>
              <w:rPr>
                <w:rFonts w:ascii="Muli" w:eastAsia="Muli" w:hAnsi="Muli" w:cs="Muli"/>
                <w:color w:val="000000"/>
              </w:rPr>
            </w:pPr>
          </w:p>
        </w:tc>
        <w:tc>
          <w:tcPr>
            <w:tcW w:w="1455" w:type="dxa"/>
            <w:vMerge/>
            <w:tcMar>
              <w:top w:w="99" w:type="dxa"/>
              <w:left w:w="99" w:type="dxa"/>
              <w:bottom w:w="99" w:type="dxa"/>
              <w:right w:w="99" w:type="dxa"/>
            </w:tcMar>
          </w:tcPr>
          <w:p w14:paraId="5A633AA3" w14:textId="77777777" w:rsidR="00C56CD1" w:rsidRDefault="00C56CD1">
            <w:pPr>
              <w:pStyle w:val="normal0"/>
              <w:pBdr>
                <w:top w:val="nil"/>
                <w:left w:val="nil"/>
                <w:bottom w:val="nil"/>
                <w:right w:val="nil"/>
                <w:between w:val="nil"/>
              </w:pBdr>
              <w:ind w:left="90"/>
              <w:rPr>
                <w:rFonts w:ascii="Muli" w:eastAsia="Muli" w:hAnsi="Muli" w:cs="Muli"/>
                <w:color w:val="000000"/>
              </w:rPr>
            </w:pPr>
          </w:p>
        </w:tc>
        <w:tc>
          <w:tcPr>
            <w:tcW w:w="1005" w:type="dxa"/>
            <w:vMerge/>
            <w:tcMar>
              <w:top w:w="99" w:type="dxa"/>
              <w:left w:w="99" w:type="dxa"/>
              <w:bottom w:w="99" w:type="dxa"/>
              <w:right w:w="99" w:type="dxa"/>
            </w:tcMar>
          </w:tcPr>
          <w:p w14:paraId="2BCD5529" w14:textId="77777777" w:rsidR="00C56CD1" w:rsidRDefault="00C56CD1">
            <w:pPr>
              <w:pStyle w:val="normal0"/>
              <w:pBdr>
                <w:top w:val="nil"/>
                <w:left w:val="nil"/>
                <w:bottom w:val="nil"/>
                <w:right w:val="nil"/>
                <w:between w:val="nil"/>
              </w:pBdr>
              <w:ind w:left="90"/>
              <w:rPr>
                <w:rFonts w:ascii="Muli" w:eastAsia="Muli" w:hAnsi="Muli" w:cs="Muli"/>
                <w:color w:val="000000"/>
              </w:rPr>
            </w:pPr>
          </w:p>
        </w:tc>
      </w:tr>
      <w:tr w:rsidR="00C56CD1" w14:paraId="3A9779CA" w14:textId="77777777">
        <w:trPr>
          <w:trHeight w:val="400"/>
        </w:trPr>
        <w:tc>
          <w:tcPr>
            <w:tcW w:w="10200" w:type="dxa"/>
            <w:vMerge/>
            <w:tcBorders>
              <w:bottom w:val="nil"/>
              <w:right w:val="nil"/>
            </w:tcBorders>
            <w:tcMar>
              <w:top w:w="99" w:type="dxa"/>
              <w:left w:w="99" w:type="dxa"/>
              <w:bottom w:w="99" w:type="dxa"/>
              <w:right w:w="99" w:type="dxa"/>
            </w:tcMar>
          </w:tcPr>
          <w:p w14:paraId="25F34C8E" w14:textId="77777777" w:rsidR="00C56CD1" w:rsidRDefault="00C56CD1">
            <w:pPr>
              <w:pStyle w:val="normal0"/>
              <w:pBdr>
                <w:top w:val="nil"/>
                <w:left w:val="nil"/>
                <w:bottom w:val="nil"/>
                <w:right w:val="nil"/>
                <w:between w:val="nil"/>
              </w:pBdr>
              <w:ind w:left="90"/>
              <w:rPr>
                <w:rFonts w:ascii="Muli" w:eastAsia="Muli" w:hAnsi="Muli" w:cs="Muli"/>
                <w:color w:val="000000"/>
              </w:rPr>
            </w:pPr>
          </w:p>
        </w:tc>
        <w:tc>
          <w:tcPr>
            <w:tcW w:w="1230" w:type="dxa"/>
            <w:vMerge/>
            <w:tcMar>
              <w:top w:w="99" w:type="dxa"/>
              <w:left w:w="99" w:type="dxa"/>
              <w:bottom w:w="99" w:type="dxa"/>
              <w:right w:w="99" w:type="dxa"/>
            </w:tcMar>
          </w:tcPr>
          <w:p w14:paraId="01CC9E69" w14:textId="77777777" w:rsidR="00C56CD1" w:rsidRDefault="00C56CD1">
            <w:pPr>
              <w:pStyle w:val="normal0"/>
              <w:pBdr>
                <w:top w:val="nil"/>
                <w:left w:val="nil"/>
                <w:bottom w:val="nil"/>
                <w:right w:val="nil"/>
                <w:between w:val="nil"/>
              </w:pBdr>
              <w:ind w:left="90"/>
              <w:rPr>
                <w:rFonts w:ascii="Muli" w:eastAsia="Muli" w:hAnsi="Muli" w:cs="Muli"/>
                <w:color w:val="000000"/>
              </w:rPr>
            </w:pPr>
          </w:p>
        </w:tc>
        <w:tc>
          <w:tcPr>
            <w:tcW w:w="1455" w:type="dxa"/>
            <w:vMerge/>
            <w:tcMar>
              <w:top w:w="99" w:type="dxa"/>
              <w:left w:w="99" w:type="dxa"/>
              <w:bottom w:w="99" w:type="dxa"/>
              <w:right w:w="99" w:type="dxa"/>
            </w:tcMar>
          </w:tcPr>
          <w:p w14:paraId="21E5C5D0" w14:textId="77777777" w:rsidR="00C56CD1" w:rsidRDefault="00C56CD1">
            <w:pPr>
              <w:pStyle w:val="normal0"/>
              <w:pBdr>
                <w:top w:val="nil"/>
                <w:left w:val="nil"/>
                <w:bottom w:val="nil"/>
                <w:right w:val="nil"/>
                <w:between w:val="nil"/>
              </w:pBdr>
              <w:ind w:left="90"/>
              <w:rPr>
                <w:rFonts w:ascii="Muli" w:eastAsia="Muli" w:hAnsi="Muli" w:cs="Muli"/>
                <w:color w:val="000000"/>
              </w:rPr>
            </w:pPr>
          </w:p>
        </w:tc>
        <w:tc>
          <w:tcPr>
            <w:tcW w:w="1005" w:type="dxa"/>
            <w:vMerge/>
            <w:tcMar>
              <w:top w:w="99" w:type="dxa"/>
              <w:left w:w="99" w:type="dxa"/>
              <w:bottom w:w="99" w:type="dxa"/>
              <w:right w:w="99" w:type="dxa"/>
            </w:tcMar>
          </w:tcPr>
          <w:p w14:paraId="06E281BA" w14:textId="77777777" w:rsidR="00C56CD1" w:rsidRDefault="00C56CD1">
            <w:pPr>
              <w:pStyle w:val="normal0"/>
              <w:pBdr>
                <w:top w:val="nil"/>
                <w:left w:val="nil"/>
                <w:bottom w:val="nil"/>
                <w:right w:val="nil"/>
                <w:between w:val="nil"/>
              </w:pBdr>
              <w:ind w:left="90"/>
              <w:rPr>
                <w:rFonts w:ascii="Muli" w:eastAsia="Muli" w:hAnsi="Muli" w:cs="Muli"/>
                <w:color w:val="000000"/>
              </w:rPr>
            </w:pPr>
          </w:p>
        </w:tc>
      </w:tr>
      <w:tr w:rsidR="00C56CD1" w14:paraId="49F339B1" w14:textId="77777777">
        <w:trPr>
          <w:trHeight w:val="1040"/>
        </w:trPr>
        <w:tc>
          <w:tcPr>
            <w:tcW w:w="10200" w:type="dxa"/>
            <w:vMerge/>
            <w:tcBorders>
              <w:top w:val="nil"/>
              <w:right w:val="nil"/>
            </w:tcBorders>
            <w:tcMar>
              <w:top w:w="99" w:type="dxa"/>
              <w:left w:w="99" w:type="dxa"/>
              <w:bottom w:w="99" w:type="dxa"/>
              <w:right w:w="99" w:type="dxa"/>
            </w:tcMar>
          </w:tcPr>
          <w:p w14:paraId="6027FD38" w14:textId="77777777" w:rsidR="00C56CD1" w:rsidRDefault="00C56CD1">
            <w:pPr>
              <w:pStyle w:val="normal0"/>
              <w:pBdr>
                <w:top w:val="nil"/>
                <w:left w:val="nil"/>
                <w:bottom w:val="nil"/>
                <w:right w:val="nil"/>
                <w:between w:val="nil"/>
              </w:pBdr>
              <w:tabs>
                <w:tab w:val="left" w:pos="834"/>
                <w:tab w:val="left" w:pos="835"/>
              </w:tabs>
              <w:ind w:left="90" w:right="143"/>
              <w:rPr>
                <w:rFonts w:ascii="Muli" w:eastAsia="Muli" w:hAnsi="Muli" w:cs="Muli"/>
                <w:color w:val="000000"/>
              </w:rPr>
            </w:pPr>
          </w:p>
        </w:tc>
        <w:tc>
          <w:tcPr>
            <w:tcW w:w="1230" w:type="dxa"/>
            <w:vMerge/>
            <w:tcMar>
              <w:top w:w="99" w:type="dxa"/>
              <w:left w:w="99" w:type="dxa"/>
              <w:bottom w:w="99" w:type="dxa"/>
              <w:right w:w="99" w:type="dxa"/>
            </w:tcMar>
          </w:tcPr>
          <w:p w14:paraId="792A2814" w14:textId="77777777" w:rsidR="00C56CD1" w:rsidRDefault="00C56CD1">
            <w:pPr>
              <w:pStyle w:val="normal0"/>
              <w:pBdr>
                <w:top w:val="nil"/>
                <w:left w:val="nil"/>
                <w:bottom w:val="nil"/>
                <w:right w:val="nil"/>
                <w:between w:val="nil"/>
              </w:pBdr>
              <w:ind w:left="90"/>
              <w:rPr>
                <w:rFonts w:ascii="Muli" w:eastAsia="Muli" w:hAnsi="Muli" w:cs="Muli"/>
                <w:color w:val="000000"/>
              </w:rPr>
            </w:pPr>
          </w:p>
        </w:tc>
        <w:tc>
          <w:tcPr>
            <w:tcW w:w="1455" w:type="dxa"/>
            <w:vMerge/>
            <w:tcMar>
              <w:top w:w="99" w:type="dxa"/>
              <w:left w:w="99" w:type="dxa"/>
              <w:bottom w:w="99" w:type="dxa"/>
              <w:right w:w="99" w:type="dxa"/>
            </w:tcMar>
          </w:tcPr>
          <w:p w14:paraId="61508631" w14:textId="77777777" w:rsidR="00C56CD1" w:rsidRDefault="00C56CD1">
            <w:pPr>
              <w:pStyle w:val="normal0"/>
              <w:pBdr>
                <w:top w:val="nil"/>
                <w:left w:val="nil"/>
                <w:bottom w:val="nil"/>
                <w:right w:val="nil"/>
                <w:between w:val="nil"/>
              </w:pBdr>
              <w:ind w:left="90"/>
              <w:rPr>
                <w:rFonts w:ascii="Muli" w:eastAsia="Muli" w:hAnsi="Muli" w:cs="Muli"/>
                <w:color w:val="000000"/>
              </w:rPr>
            </w:pPr>
          </w:p>
        </w:tc>
        <w:tc>
          <w:tcPr>
            <w:tcW w:w="1005" w:type="dxa"/>
            <w:vMerge/>
            <w:tcMar>
              <w:top w:w="99" w:type="dxa"/>
              <w:left w:w="99" w:type="dxa"/>
              <w:bottom w:w="99" w:type="dxa"/>
              <w:right w:w="99" w:type="dxa"/>
            </w:tcMar>
          </w:tcPr>
          <w:p w14:paraId="6938FA9D" w14:textId="77777777" w:rsidR="00C56CD1" w:rsidRDefault="00C56CD1">
            <w:pPr>
              <w:pStyle w:val="normal0"/>
              <w:pBdr>
                <w:top w:val="nil"/>
                <w:left w:val="nil"/>
                <w:bottom w:val="nil"/>
                <w:right w:val="nil"/>
                <w:between w:val="nil"/>
              </w:pBdr>
              <w:ind w:left="90"/>
              <w:rPr>
                <w:rFonts w:ascii="Muli" w:eastAsia="Muli" w:hAnsi="Muli" w:cs="Muli"/>
                <w:color w:val="000000"/>
              </w:rPr>
            </w:pPr>
          </w:p>
        </w:tc>
      </w:tr>
      <w:tr w:rsidR="00C56CD1" w14:paraId="1D7B36BD" w14:textId="77777777">
        <w:trPr>
          <w:trHeight w:val="480"/>
        </w:trPr>
        <w:tc>
          <w:tcPr>
            <w:tcW w:w="10200" w:type="dxa"/>
            <w:tcMar>
              <w:top w:w="99" w:type="dxa"/>
              <w:left w:w="99" w:type="dxa"/>
              <w:bottom w:w="99" w:type="dxa"/>
              <w:right w:w="99" w:type="dxa"/>
            </w:tcMar>
          </w:tcPr>
          <w:p w14:paraId="12F92148" w14:textId="77777777" w:rsidR="00C56CD1" w:rsidRDefault="00DA00BA">
            <w:pPr>
              <w:pStyle w:val="normal0"/>
              <w:pBdr>
                <w:top w:val="nil"/>
                <w:left w:val="nil"/>
                <w:bottom w:val="nil"/>
                <w:right w:val="nil"/>
                <w:between w:val="nil"/>
              </w:pBdr>
              <w:spacing w:before="1"/>
              <w:ind w:left="90" w:right="698"/>
              <w:rPr>
                <w:rFonts w:ascii="Muli" w:eastAsia="Muli" w:hAnsi="Muli" w:cs="Muli"/>
                <w:color w:val="000000"/>
                <w:sz w:val="20"/>
                <w:szCs w:val="20"/>
              </w:rPr>
            </w:pPr>
            <w:r>
              <w:rPr>
                <w:rFonts w:ascii="Muli" w:eastAsia="Muli" w:hAnsi="Muli" w:cs="Muli"/>
                <w:b/>
                <w:color w:val="000000"/>
                <w:sz w:val="20"/>
                <w:szCs w:val="20"/>
              </w:rPr>
              <w:t xml:space="preserve">SW3. Prior Knowledge. </w:t>
            </w:r>
            <w:r>
              <w:rPr>
                <w:rFonts w:ascii="Muli" w:eastAsia="Muli" w:hAnsi="Muli" w:cs="Muli"/>
                <w:color w:val="000000"/>
                <w:sz w:val="20"/>
                <w:szCs w:val="20"/>
              </w:rPr>
              <w:t>Provide support and strategies to leverage students’ prior knowledge and experiences to motivate learning.</w:t>
            </w:r>
          </w:p>
        </w:tc>
        <w:tc>
          <w:tcPr>
            <w:tcW w:w="1230" w:type="dxa"/>
            <w:tcMar>
              <w:top w:w="99" w:type="dxa"/>
              <w:left w:w="99" w:type="dxa"/>
              <w:bottom w:w="99" w:type="dxa"/>
              <w:right w:w="99" w:type="dxa"/>
            </w:tcMar>
          </w:tcPr>
          <w:p w14:paraId="7A7E82CC" w14:textId="77777777" w:rsidR="00C56CD1" w:rsidRDefault="00DA00BA">
            <w:pPr>
              <w:pStyle w:val="normal0"/>
              <w:ind w:left="90"/>
              <w:jc w:val="center"/>
              <w:rPr>
                <w:rFonts w:ascii="Muli" w:eastAsia="Muli" w:hAnsi="Muli" w:cs="Muli"/>
                <w:color w:val="FF126D"/>
                <w:sz w:val="56"/>
                <w:szCs w:val="56"/>
              </w:rPr>
            </w:pPr>
            <w:r>
              <w:rPr>
                <w:rFonts w:ascii="Arial Unicode MS" w:eastAsia="Arial Unicode MS" w:hAnsi="Arial Unicode MS" w:cs="Arial Unicode MS"/>
                <w:color w:val="FF126D"/>
                <w:sz w:val="56"/>
                <w:szCs w:val="56"/>
              </w:rPr>
              <w:t>✓</w:t>
            </w:r>
          </w:p>
        </w:tc>
        <w:tc>
          <w:tcPr>
            <w:tcW w:w="1455" w:type="dxa"/>
            <w:tcMar>
              <w:top w:w="99" w:type="dxa"/>
              <w:left w:w="99" w:type="dxa"/>
              <w:bottom w:w="99" w:type="dxa"/>
              <w:right w:w="99" w:type="dxa"/>
            </w:tcMar>
          </w:tcPr>
          <w:p w14:paraId="626CBC6D" w14:textId="77777777" w:rsidR="00C56CD1" w:rsidRDefault="00C56CD1">
            <w:pPr>
              <w:pStyle w:val="normal0"/>
              <w:pBdr>
                <w:top w:val="nil"/>
                <w:left w:val="nil"/>
                <w:bottom w:val="nil"/>
                <w:right w:val="nil"/>
                <w:between w:val="nil"/>
              </w:pBdr>
              <w:ind w:left="90"/>
              <w:rPr>
                <w:rFonts w:ascii="Muli" w:eastAsia="Muli" w:hAnsi="Muli" w:cs="Muli"/>
                <w:color w:val="000000"/>
              </w:rPr>
            </w:pPr>
          </w:p>
        </w:tc>
        <w:tc>
          <w:tcPr>
            <w:tcW w:w="1005" w:type="dxa"/>
            <w:tcMar>
              <w:top w:w="99" w:type="dxa"/>
              <w:left w:w="99" w:type="dxa"/>
              <w:bottom w:w="99" w:type="dxa"/>
              <w:right w:w="99" w:type="dxa"/>
            </w:tcMar>
          </w:tcPr>
          <w:p w14:paraId="0085863B" w14:textId="77777777" w:rsidR="00C56CD1" w:rsidRDefault="00C56CD1">
            <w:pPr>
              <w:pStyle w:val="normal0"/>
              <w:pBdr>
                <w:top w:val="nil"/>
                <w:left w:val="nil"/>
                <w:bottom w:val="nil"/>
                <w:right w:val="nil"/>
                <w:between w:val="nil"/>
              </w:pBdr>
              <w:ind w:left="90"/>
              <w:rPr>
                <w:rFonts w:ascii="Muli" w:eastAsia="Muli" w:hAnsi="Muli" w:cs="Muli"/>
                <w:color w:val="000000"/>
              </w:rPr>
            </w:pPr>
          </w:p>
        </w:tc>
      </w:tr>
      <w:tr w:rsidR="00C56CD1" w14:paraId="0449935C" w14:textId="77777777">
        <w:trPr>
          <w:trHeight w:val="380"/>
        </w:trPr>
        <w:tc>
          <w:tcPr>
            <w:tcW w:w="10200" w:type="dxa"/>
            <w:tcMar>
              <w:top w:w="99" w:type="dxa"/>
              <w:left w:w="99" w:type="dxa"/>
              <w:bottom w:w="99" w:type="dxa"/>
              <w:right w:w="99" w:type="dxa"/>
            </w:tcMar>
          </w:tcPr>
          <w:p w14:paraId="1AEFB812" w14:textId="77777777" w:rsidR="00C56CD1" w:rsidRDefault="00DA00BA">
            <w:pPr>
              <w:pStyle w:val="normal0"/>
              <w:pBdr>
                <w:top w:val="nil"/>
                <w:left w:val="nil"/>
                <w:bottom w:val="nil"/>
                <w:right w:val="nil"/>
                <w:between w:val="nil"/>
              </w:pBdr>
              <w:spacing w:before="1"/>
              <w:ind w:left="90"/>
              <w:rPr>
                <w:rFonts w:ascii="Muli" w:eastAsia="Muli" w:hAnsi="Muli" w:cs="Muli"/>
                <w:color w:val="000000"/>
                <w:sz w:val="20"/>
                <w:szCs w:val="20"/>
              </w:rPr>
            </w:pPr>
            <w:r>
              <w:rPr>
                <w:rFonts w:ascii="Muli" w:eastAsia="Muli" w:hAnsi="Muli" w:cs="Muli"/>
                <w:b/>
                <w:color w:val="000000"/>
                <w:sz w:val="20"/>
                <w:szCs w:val="20"/>
              </w:rPr>
              <w:t xml:space="preserve">SW4. Metacognitive Abilities. </w:t>
            </w:r>
            <w:r>
              <w:rPr>
                <w:rFonts w:ascii="Muli" w:eastAsia="Muli" w:hAnsi="Muli" w:cs="Muli"/>
                <w:color w:val="000000"/>
                <w:sz w:val="20"/>
                <w:szCs w:val="20"/>
              </w:rPr>
              <w:t>Provide support and strategies for how to help students develop metacognitive abilities.</w:t>
            </w:r>
          </w:p>
        </w:tc>
        <w:tc>
          <w:tcPr>
            <w:tcW w:w="1230" w:type="dxa"/>
            <w:tcMar>
              <w:top w:w="99" w:type="dxa"/>
              <w:left w:w="99" w:type="dxa"/>
              <w:bottom w:w="99" w:type="dxa"/>
              <w:right w:w="99" w:type="dxa"/>
            </w:tcMar>
          </w:tcPr>
          <w:p w14:paraId="79754D7C" w14:textId="77777777" w:rsidR="00C56CD1" w:rsidRDefault="00DA00BA">
            <w:pPr>
              <w:pStyle w:val="normal0"/>
              <w:ind w:left="90"/>
              <w:jc w:val="center"/>
              <w:rPr>
                <w:rFonts w:ascii="Muli" w:eastAsia="Muli" w:hAnsi="Muli" w:cs="Muli"/>
                <w:color w:val="FF126D"/>
                <w:sz w:val="56"/>
                <w:szCs w:val="56"/>
              </w:rPr>
            </w:pPr>
            <w:r>
              <w:rPr>
                <w:rFonts w:ascii="Arial Unicode MS" w:eastAsia="Arial Unicode MS" w:hAnsi="Arial Unicode MS" w:cs="Arial Unicode MS"/>
                <w:color w:val="FF126D"/>
                <w:sz w:val="56"/>
                <w:szCs w:val="56"/>
              </w:rPr>
              <w:t>✓</w:t>
            </w:r>
          </w:p>
        </w:tc>
        <w:tc>
          <w:tcPr>
            <w:tcW w:w="1455" w:type="dxa"/>
            <w:tcMar>
              <w:top w:w="99" w:type="dxa"/>
              <w:left w:w="99" w:type="dxa"/>
              <w:bottom w:w="99" w:type="dxa"/>
              <w:right w:w="99" w:type="dxa"/>
            </w:tcMar>
          </w:tcPr>
          <w:p w14:paraId="242A866C" w14:textId="77777777" w:rsidR="00C56CD1" w:rsidRDefault="00C56CD1">
            <w:pPr>
              <w:pStyle w:val="normal0"/>
              <w:pBdr>
                <w:top w:val="nil"/>
                <w:left w:val="nil"/>
                <w:bottom w:val="nil"/>
                <w:right w:val="nil"/>
                <w:between w:val="nil"/>
              </w:pBdr>
              <w:ind w:left="90"/>
              <w:rPr>
                <w:rFonts w:ascii="Muli" w:eastAsia="Muli" w:hAnsi="Muli" w:cs="Muli"/>
                <w:color w:val="000000"/>
              </w:rPr>
            </w:pPr>
          </w:p>
        </w:tc>
        <w:tc>
          <w:tcPr>
            <w:tcW w:w="1005" w:type="dxa"/>
            <w:tcMar>
              <w:top w:w="99" w:type="dxa"/>
              <w:left w:w="99" w:type="dxa"/>
              <w:bottom w:w="99" w:type="dxa"/>
              <w:right w:w="99" w:type="dxa"/>
            </w:tcMar>
          </w:tcPr>
          <w:p w14:paraId="0E739C8D" w14:textId="77777777" w:rsidR="00C56CD1" w:rsidRDefault="00C56CD1">
            <w:pPr>
              <w:pStyle w:val="normal0"/>
              <w:pBdr>
                <w:top w:val="nil"/>
                <w:left w:val="nil"/>
                <w:bottom w:val="nil"/>
                <w:right w:val="nil"/>
                <w:between w:val="nil"/>
              </w:pBdr>
              <w:ind w:left="90"/>
              <w:rPr>
                <w:rFonts w:ascii="Muli" w:eastAsia="Muli" w:hAnsi="Muli" w:cs="Muli"/>
                <w:color w:val="000000"/>
              </w:rPr>
            </w:pPr>
          </w:p>
        </w:tc>
      </w:tr>
      <w:tr w:rsidR="00C56CD1" w14:paraId="280CA26D" w14:textId="77777777">
        <w:trPr>
          <w:trHeight w:val="900"/>
        </w:trPr>
        <w:tc>
          <w:tcPr>
            <w:tcW w:w="10200" w:type="dxa"/>
            <w:tcMar>
              <w:top w:w="99" w:type="dxa"/>
              <w:left w:w="99" w:type="dxa"/>
              <w:bottom w:w="99" w:type="dxa"/>
              <w:right w:w="99" w:type="dxa"/>
            </w:tcMar>
          </w:tcPr>
          <w:p w14:paraId="15A6E480" w14:textId="77777777" w:rsidR="00C56CD1" w:rsidRDefault="00DA00BA">
            <w:pPr>
              <w:pStyle w:val="normal0"/>
              <w:pBdr>
                <w:top w:val="nil"/>
                <w:left w:val="nil"/>
                <w:bottom w:val="nil"/>
                <w:right w:val="nil"/>
                <w:between w:val="nil"/>
              </w:pBdr>
              <w:spacing w:before="1" w:line="242" w:lineRule="auto"/>
              <w:ind w:left="90"/>
              <w:rPr>
                <w:rFonts w:ascii="Muli" w:eastAsia="Muli" w:hAnsi="Muli" w:cs="Muli"/>
                <w:color w:val="000000"/>
                <w:sz w:val="20"/>
                <w:szCs w:val="20"/>
              </w:rPr>
            </w:pPr>
            <w:r>
              <w:rPr>
                <w:rFonts w:ascii="Muli" w:eastAsia="Muli" w:hAnsi="Muli" w:cs="Muli"/>
                <w:b/>
                <w:color w:val="000000"/>
                <w:sz w:val="20"/>
                <w:szCs w:val="20"/>
              </w:rPr>
              <w:t xml:space="preserve">SW5. Equitable Learning Opportunities. </w:t>
            </w:r>
            <w:r>
              <w:rPr>
                <w:rFonts w:ascii="Muli" w:eastAsia="Muli" w:hAnsi="Muli" w:cs="Muli"/>
                <w:color w:val="000000"/>
                <w:sz w:val="20"/>
                <w:szCs w:val="20"/>
              </w:rPr>
              <w:t xml:space="preserve">Provide resources and strategies for how to ensure that </w:t>
            </w:r>
            <w:r>
              <w:rPr>
                <w:rFonts w:ascii="Muli" w:eastAsia="Muli" w:hAnsi="Muli" w:cs="Muli"/>
                <w:b/>
                <w:i/>
                <w:color w:val="000000"/>
                <w:sz w:val="20"/>
                <w:szCs w:val="20"/>
              </w:rPr>
              <w:t xml:space="preserve">all </w:t>
            </w:r>
            <w:r>
              <w:rPr>
                <w:rFonts w:ascii="Muli" w:eastAsia="Muli" w:hAnsi="Muli" w:cs="Muli"/>
                <w:color w:val="000000"/>
                <w:sz w:val="20"/>
                <w:szCs w:val="20"/>
              </w:rPr>
              <w:t>students, including those</w:t>
            </w:r>
            <w:r>
              <w:rPr>
                <w:rFonts w:ascii="Muli" w:eastAsia="Muli" w:hAnsi="Muli" w:cs="Muli"/>
                <w:sz w:val="20"/>
                <w:szCs w:val="20"/>
              </w:rPr>
              <w:t xml:space="preserve"> </w:t>
            </w:r>
            <w:r>
              <w:rPr>
                <w:rFonts w:ascii="Muli" w:eastAsia="Muli" w:hAnsi="Muli" w:cs="Muli"/>
                <w:color w:val="000000"/>
                <w:sz w:val="20"/>
                <w:szCs w:val="20"/>
              </w:rPr>
              <w:t>from non-dominant groups and with diverse learning needs, have access to the targeted learning goals and experiences.</w:t>
            </w:r>
          </w:p>
        </w:tc>
        <w:tc>
          <w:tcPr>
            <w:tcW w:w="1230" w:type="dxa"/>
            <w:tcMar>
              <w:top w:w="99" w:type="dxa"/>
              <w:left w:w="99" w:type="dxa"/>
              <w:bottom w:w="99" w:type="dxa"/>
              <w:right w:w="99" w:type="dxa"/>
            </w:tcMar>
          </w:tcPr>
          <w:p w14:paraId="3E98BF31" w14:textId="77777777" w:rsidR="00C56CD1" w:rsidRDefault="00DA00BA">
            <w:pPr>
              <w:pStyle w:val="normal0"/>
              <w:ind w:left="90"/>
              <w:jc w:val="center"/>
              <w:rPr>
                <w:rFonts w:ascii="Muli" w:eastAsia="Muli" w:hAnsi="Muli" w:cs="Muli"/>
                <w:color w:val="FF126D"/>
                <w:sz w:val="56"/>
                <w:szCs w:val="56"/>
              </w:rPr>
            </w:pPr>
            <w:r>
              <w:rPr>
                <w:rFonts w:ascii="Arial Unicode MS" w:eastAsia="Arial Unicode MS" w:hAnsi="Arial Unicode MS" w:cs="Arial Unicode MS"/>
                <w:color w:val="FF126D"/>
                <w:sz w:val="56"/>
                <w:szCs w:val="56"/>
              </w:rPr>
              <w:t>✓</w:t>
            </w:r>
          </w:p>
        </w:tc>
        <w:tc>
          <w:tcPr>
            <w:tcW w:w="1455" w:type="dxa"/>
            <w:tcMar>
              <w:top w:w="99" w:type="dxa"/>
              <w:left w:w="99" w:type="dxa"/>
              <w:bottom w:w="99" w:type="dxa"/>
              <w:right w:w="99" w:type="dxa"/>
            </w:tcMar>
          </w:tcPr>
          <w:p w14:paraId="04EB9997" w14:textId="77777777" w:rsidR="00C56CD1" w:rsidRDefault="00C56CD1">
            <w:pPr>
              <w:pStyle w:val="normal0"/>
              <w:pBdr>
                <w:top w:val="nil"/>
                <w:left w:val="nil"/>
                <w:bottom w:val="nil"/>
                <w:right w:val="nil"/>
                <w:between w:val="nil"/>
              </w:pBdr>
              <w:ind w:left="90"/>
              <w:rPr>
                <w:rFonts w:ascii="Muli" w:eastAsia="Muli" w:hAnsi="Muli" w:cs="Muli"/>
                <w:color w:val="000000"/>
              </w:rPr>
            </w:pPr>
          </w:p>
        </w:tc>
        <w:tc>
          <w:tcPr>
            <w:tcW w:w="1005" w:type="dxa"/>
            <w:tcMar>
              <w:top w:w="99" w:type="dxa"/>
              <w:left w:w="99" w:type="dxa"/>
              <w:bottom w:w="99" w:type="dxa"/>
              <w:right w:w="99" w:type="dxa"/>
            </w:tcMar>
          </w:tcPr>
          <w:p w14:paraId="5D6FE0B7" w14:textId="77777777" w:rsidR="00C56CD1" w:rsidRDefault="00C56CD1">
            <w:pPr>
              <w:pStyle w:val="normal0"/>
              <w:pBdr>
                <w:top w:val="nil"/>
                <w:left w:val="nil"/>
                <w:bottom w:val="nil"/>
                <w:right w:val="nil"/>
                <w:between w:val="nil"/>
              </w:pBdr>
              <w:ind w:left="90"/>
              <w:rPr>
                <w:rFonts w:ascii="Muli" w:eastAsia="Muli" w:hAnsi="Muli" w:cs="Muli"/>
                <w:color w:val="000000"/>
              </w:rPr>
            </w:pPr>
          </w:p>
        </w:tc>
      </w:tr>
    </w:tbl>
    <w:p w14:paraId="07BFF031" w14:textId="77777777" w:rsidR="00C56CD1" w:rsidRDefault="00C56CD1">
      <w:pPr>
        <w:pStyle w:val="normal0"/>
        <w:ind w:left="90"/>
        <w:rPr>
          <w:rFonts w:ascii="Muli" w:eastAsia="Muli" w:hAnsi="Muli" w:cs="Muli"/>
          <w:b/>
          <w:sz w:val="20"/>
          <w:szCs w:val="20"/>
        </w:rPr>
      </w:pPr>
    </w:p>
    <w:tbl>
      <w:tblPr>
        <w:tblStyle w:val="a4"/>
        <w:tblW w:w="13935"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05"/>
        <w:gridCol w:w="5130"/>
      </w:tblGrid>
      <w:tr w:rsidR="00C56CD1" w14:paraId="427240A8" w14:textId="77777777">
        <w:tc>
          <w:tcPr>
            <w:tcW w:w="13935" w:type="dxa"/>
            <w:gridSpan w:val="2"/>
            <w:shd w:val="clear" w:color="auto" w:fill="FF126D"/>
            <w:tcMar>
              <w:top w:w="99" w:type="dxa"/>
              <w:left w:w="99" w:type="dxa"/>
              <w:bottom w:w="99" w:type="dxa"/>
              <w:right w:w="99" w:type="dxa"/>
            </w:tcMar>
          </w:tcPr>
          <w:p w14:paraId="696E2AF1" w14:textId="77777777" w:rsidR="00C56CD1" w:rsidRDefault="00DA00BA">
            <w:pPr>
              <w:pStyle w:val="normal0"/>
              <w:spacing w:before="1"/>
              <w:ind w:left="90" w:right="150"/>
              <w:rPr>
                <w:rFonts w:ascii="Muli" w:eastAsia="Muli" w:hAnsi="Muli" w:cs="Muli"/>
                <w:b/>
                <w:sz w:val="20"/>
                <w:szCs w:val="20"/>
              </w:rPr>
            </w:pPr>
            <w:r>
              <w:rPr>
                <w:rFonts w:ascii="Muli" w:eastAsia="Muli" w:hAnsi="Muli" w:cs="Muli"/>
                <w:b/>
                <w:color w:val="FFFFFF"/>
                <w:sz w:val="20"/>
                <w:szCs w:val="20"/>
              </w:rPr>
              <w:t>Strengths related to these Teacher Supports</w:t>
            </w:r>
          </w:p>
        </w:tc>
      </w:tr>
      <w:tr w:rsidR="00C56CD1" w14:paraId="1C94DE39" w14:textId="77777777">
        <w:trPr>
          <w:trHeight w:val="240"/>
        </w:trPr>
        <w:tc>
          <w:tcPr>
            <w:tcW w:w="13935" w:type="dxa"/>
            <w:gridSpan w:val="2"/>
            <w:shd w:val="clear" w:color="auto" w:fill="CCCCCC"/>
            <w:tcMar>
              <w:top w:w="99" w:type="dxa"/>
              <w:left w:w="99" w:type="dxa"/>
              <w:bottom w:w="99" w:type="dxa"/>
              <w:right w:w="99" w:type="dxa"/>
            </w:tcMar>
          </w:tcPr>
          <w:p w14:paraId="34275675" w14:textId="77777777" w:rsidR="00C56CD1" w:rsidRDefault="00DA00BA">
            <w:pPr>
              <w:pStyle w:val="normal0"/>
              <w:ind w:left="90"/>
              <w:rPr>
                <w:rFonts w:ascii="Muli" w:eastAsia="Muli" w:hAnsi="Muli" w:cs="Muli"/>
                <w:b/>
                <w:sz w:val="20"/>
                <w:szCs w:val="20"/>
              </w:rPr>
            </w:pPr>
            <w:r>
              <w:rPr>
                <w:rFonts w:ascii="Muli" w:eastAsia="Muli" w:hAnsi="Muli" w:cs="Muli"/>
                <w:b/>
                <w:sz w:val="20"/>
                <w:szCs w:val="20"/>
              </w:rPr>
              <w:t xml:space="preserve">SW1. Phenomena/Problems. </w:t>
            </w:r>
          </w:p>
          <w:p w14:paraId="642C8FC8" w14:textId="77777777" w:rsidR="00C56CD1" w:rsidRDefault="00DA00BA">
            <w:pPr>
              <w:pStyle w:val="normal0"/>
              <w:ind w:left="90"/>
              <w:rPr>
                <w:rFonts w:ascii="Muli" w:eastAsia="Muli" w:hAnsi="Muli" w:cs="Muli"/>
                <w:color w:val="FFFFFF"/>
                <w:sz w:val="20"/>
                <w:szCs w:val="20"/>
              </w:rPr>
            </w:pPr>
            <w:r>
              <w:rPr>
                <w:rFonts w:ascii="Muli" w:eastAsia="Muli" w:hAnsi="Muli" w:cs="Muli"/>
                <w:sz w:val="20"/>
                <w:szCs w:val="20"/>
              </w:rPr>
              <w:lastRenderedPageBreak/>
              <w:t>The module is strong at providing support and strategies for how to help students figure out authentic and relevant phenomena using the three dimensions.</w:t>
            </w:r>
          </w:p>
        </w:tc>
      </w:tr>
      <w:tr w:rsidR="00C56CD1" w14:paraId="33F54427" w14:textId="77777777">
        <w:trPr>
          <w:trHeight w:val="1760"/>
        </w:trPr>
        <w:tc>
          <w:tcPr>
            <w:tcW w:w="13935" w:type="dxa"/>
            <w:gridSpan w:val="2"/>
            <w:tcMar>
              <w:top w:w="99" w:type="dxa"/>
              <w:left w:w="99" w:type="dxa"/>
              <w:bottom w:w="99" w:type="dxa"/>
              <w:right w:w="99" w:type="dxa"/>
            </w:tcMar>
          </w:tcPr>
          <w:p w14:paraId="161E0022" w14:textId="77777777" w:rsidR="00C56CD1" w:rsidRDefault="00DA00BA">
            <w:pPr>
              <w:pStyle w:val="normal0"/>
              <w:ind w:left="90"/>
              <w:rPr>
                <w:rFonts w:ascii="Muli" w:eastAsia="Muli" w:hAnsi="Muli" w:cs="Muli"/>
                <w:b/>
                <w:color w:val="FF126D"/>
                <w:sz w:val="20"/>
                <w:szCs w:val="20"/>
              </w:rPr>
            </w:pPr>
            <w:r>
              <w:rPr>
                <w:rFonts w:ascii="Muli" w:eastAsia="Muli" w:hAnsi="Muli" w:cs="Muli"/>
                <w:b/>
                <w:color w:val="FF126D"/>
                <w:sz w:val="20"/>
                <w:szCs w:val="20"/>
              </w:rPr>
              <w:lastRenderedPageBreak/>
              <w:t xml:space="preserve">Evidence </w:t>
            </w:r>
          </w:p>
          <w:p w14:paraId="17F7E083" w14:textId="77777777" w:rsidR="00C56CD1" w:rsidRDefault="00DA00BA">
            <w:pPr>
              <w:pStyle w:val="normal0"/>
              <w:numPr>
                <w:ilvl w:val="0"/>
                <w:numId w:val="12"/>
              </w:numPr>
              <w:contextualSpacing/>
              <w:rPr>
                <w:rFonts w:ascii="Muli" w:eastAsia="Muli" w:hAnsi="Muli" w:cs="Muli"/>
                <w:sz w:val="20"/>
                <w:szCs w:val="20"/>
              </w:rPr>
            </w:pPr>
            <w:r>
              <w:rPr>
                <w:rFonts w:ascii="Muli" w:eastAsia="Muli" w:hAnsi="Muli" w:cs="Muli"/>
                <w:sz w:val="20"/>
                <w:szCs w:val="20"/>
              </w:rPr>
              <w:t>The instructional ma</w:t>
            </w:r>
            <w:r>
              <w:rPr>
                <w:rFonts w:ascii="Muli" w:eastAsia="Muli" w:hAnsi="Muli" w:cs="Muli"/>
                <w:sz w:val="20"/>
                <w:szCs w:val="20"/>
              </w:rPr>
              <w:t>terials have been designed to support the teacher to guide students on a scaffolded learning journey to solve the Module Phenomenon: How do the environment and genetics affect animals and plants? They tackle the problem one Driving Question at a time, appl</w:t>
            </w:r>
            <w:r>
              <w:rPr>
                <w:rFonts w:ascii="Muli" w:eastAsia="Muli" w:hAnsi="Muli" w:cs="Muli"/>
                <w:sz w:val="20"/>
                <w:szCs w:val="20"/>
              </w:rPr>
              <w:t xml:space="preserve">ying the three dimensions with increasing sophistication, building the skills and knowledge they need through a series of investigations. </w:t>
            </w:r>
          </w:p>
          <w:p w14:paraId="1B6CB1FF" w14:textId="77777777" w:rsidR="00C56CD1" w:rsidRDefault="00DA00BA">
            <w:pPr>
              <w:pStyle w:val="normal0"/>
              <w:numPr>
                <w:ilvl w:val="0"/>
                <w:numId w:val="12"/>
              </w:numPr>
              <w:contextualSpacing/>
              <w:rPr>
                <w:rFonts w:ascii="Muli" w:eastAsia="Muli" w:hAnsi="Muli" w:cs="Muli"/>
                <w:sz w:val="20"/>
                <w:szCs w:val="20"/>
              </w:rPr>
            </w:pPr>
            <w:r>
              <w:rPr>
                <w:rFonts w:ascii="Muli" w:eastAsia="Muli" w:hAnsi="Muli" w:cs="Muli"/>
                <w:sz w:val="20"/>
                <w:szCs w:val="20"/>
              </w:rPr>
              <w:t>The teacher is supported in the instructional material to connect their learning experiences back to the central problem at strategic points, culminating in a class symposium where students present research on endangered species, addressing the Module Phen</w:t>
            </w:r>
            <w:r>
              <w:rPr>
                <w:rFonts w:ascii="Muli" w:eastAsia="Muli" w:hAnsi="Muli" w:cs="Muli"/>
                <w:sz w:val="20"/>
                <w:szCs w:val="20"/>
              </w:rPr>
              <w:t>omenon.</w:t>
            </w:r>
            <w:r>
              <w:rPr>
                <w:rFonts w:ascii="Muli" w:eastAsia="Muli" w:hAnsi="Muli" w:cs="Muli"/>
                <w:sz w:val="20"/>
                <w:szCs w:val="20"/>
                <w:shd w:val="clear" w:color="auto" w:fill="F4CCCC"/>
              </w:rPr>
              <w:t xml:space="preserve">  </w:t>
            </w:r>
          </w:p>
        </w:tc>
      </w:tr>
      <w:tr w:rsidR="00C56CD1" w14:paraId="73CB7A72" w14:textId="77777777">
        <w:trPr>
          <w:trHeight w:val="600"/>
        </w:trPr>
        <w:tc>
          <w:tcPr>
            <w:tcW w:w="13935" w:type="dxa"/>
            <w:gridSpan w:val="2"/>
            <w:shd w:val="clear" w:color="auto" w:fill="CCCCCC"/>
            <w:tcMar>
              <w:top w:w="99" w:type="dxa"/>
              <w:left w:w="99" w:type="dxa"/>
              <w:bottom w:w="99" w:type="dxa"/>
              <w:right w:w="99" w:type="dxa"/>
            </w:tcMar>
          </w:tcPr>
          <w:p w14:paraId="63444EB4" w14:textId="77777777" w:rsidR="00C56CD1" w:rsidRDefault="00DA00BA">
            <w:pPr>
              <w:pStyle w:val="normal0"/>
              <w:ind w:left="90"/>
              <w:rPr>
                <w:rFonts w:ascii="Muli" w:eastAsia="Muli" w:hAnsi="Muli" w:cs="Muli"/>
                <w:b/>
                <w:sz w:val="20"/>
                <w:szCs w:val="20"/>
              </w:rPr>
            </w:pPr>
            <w:r>
              <w:rPr>
                <w:rFonts w:ascii="Muli" w:eastAsia="Muli" w:hAnsi="Muli" w:cs="Muli"/>
                <w:b/>
                <w:sz w:val="20"/>
                <w:szCs w:val="20"/>
              </w:rPr>
              <w:t>SW2. Three-Dimensional Conceptual Framework.</w:t>
            </w:r>
          </w:p>
          <w:p w14:paraId="4E8C349E" w14:textId="77777777" w:rsidR="00C56CD1" w:rsidRDefault="00DA00BA">
            <w:pPr>
              <w:pStyle w:val="normal0"/>
              <w:ind w:left="90"/>
              <w:rPr>
                <w:rFonts w:ascii="Muli" w:eastAsia="Muli" w:hAnsi="Muli" w:cs="Muli"/>
                <w:b/>
                <w:sz w:val="20"/>
                <w:szCs w:val="20"/>
              </w:rPr>
            </w:pPr>
            <w:r>
              <w:rPr>
                <w:rFonts w:ascii="Muli" w:eastAsia="Muli" w:hAnsi="Muli" w:cs="Muli"/>
                <w:sz w:val="20"/>
                <w:szCs w:val="20"/>
              </w:rPr>
              <w:t>The module provides strong support and strategies for how teachers help students build conceptual flow and creates a positive learning environment for students.</w:t>
            </w:r>
          </w:p>
        </w:tc>
      </w:tr>
      <w:tr w:rsidR="00C56CD1" w14:paraId="34984814" w14:textId="77777777">
        <w:trPr>
          <w:trHeight w:val="2620"/>
        </w:trPr>
        <w:tc>
          <w:tcPr>
            <w:tcW w:w="13935" w:type="dxa"/>
            <w:gridSpan w:val="2"/>
            <w:vMerge w:val="restart"/>
            <w:tcMar>
              <w:top w:w="99" w:type="dxa"/>
              <w:left w:w="99" w:type="dxa"/>
              <w:bottom w:w="99" w:type="dxa"/>
              <w:right w:w="99" w:type="dxa"/>
            </w:tcMar>
          </w:tcPr>
          <w:p w14:paraId="60255A94" w14:textId="77777777" w:rsidR="00C56CD1" w:rsidRDefault="00DA00BA">
            <w:pPr>
              <w:pStyle w:val="normal0"/>
              <w:ind w:left="90"/>
              <w:rPr>
                <w:rFonts w:ascii="Muli" w:eastAsia="Muli" w:hAnsi="Muli" w:cs="Muli"/>
                <w:color w:val="FF126D"/>
                <w:sz w:val="20"/>
                <w:szCs w:val="20"/>
                <w:shd w:val="clear" w:color="auto" w:fill="F4CCCC"/>
              </w:rPr>
            </w:pPr>
            <w:r>
              <w:rPr>
                <w:rFonts w:ascii="Muli" w:eastAsia="Muli" w:hAnsi="Muli" w:cs="Muli"/>
                <w:b/>
                <w:color w:val="FF126D"/>
                <w:sz w:val="20"/>
                <w:szCs w:val="20"/>
              </w:rPr>
              <w:t>Evidence</w:t>
            </w:r>
          </w:p>
          <w:p w14:paraId="1410C0A7" w14:textId="77777777" w:rsidR="00C56CD1" w:rsidRDefault="00DA00BA">
            <w:pPr>
              <w:pStyle w:val="normal0"/>
              <w:numPr>
                <w:ilvl w:val="0"/>
                <w:numId w:val="3"/>
              </w:numPr>
              <w:contextualSpacing/>
              <w:rPr>
                <w:rFonts w:ascii="Muli" w:eastAsia="Muli" w:hAnsi="Muli" w:cs="Muli"/>
                <w:sz w:val="20"/>
                <w:szCs w:val="20"/>
              </w:rPr>
            </w:pPr>
            <w:r>
              <w:rPr>
                <w:rFonts w:ascii="Muli" w:eastAsia="Muli" w:hAnsi="Muli" w:cs="Muli"/>
                <w:sz w:val="20"/>
                <w:szCs w:val="20"/>
              </w:rPr>
              <w:t>The instructional materials are designed to elicit students’ understanding of how the environment and genetics affect animals and plants and develop their understanding over time, through hands-on, text, and video investigations.  Students follow a sequenc</w:t>
            </w:r>
            <w:r>
              <w:rPr>
                <w:rFonts w:ascii="Muli" w:eastAsia="Muli" w:hAnsi="Muli" w:cs="Muli"/>
                <w:sz w:val="20"/>
                <w:szCs w:val="20"/>
              </w:rPr>
              <w:t xml:space="preserve">e of Driving Questions designed to progressively build their skills and scientifically accurate understandings. </w:t>
            </w:r>
          </w:p>
          <w:p w14:paraId="61BB74D2" w14:textId="77777777" w:rsidR="00C56CD1" w:rsidRDefault="00DA00BA">
            <w:pPr>
              <w:pStyle w:val="normal0"/>
              <w:numPr>
                <w:ilvl w:val="0"/>
                <w:numId w:val="3"/>
              </w:numPr>
              <w:contextualSpacing/>
              <w:rPr>
                <w:rFonts w:ascii="Muli" w:eastAsia="Muli" w:hAnsi="Muli" w:cs="Muli"/>
                <w:sz w:val="20"/>
                <w:szCs w:val="20"/>
              </w:rPr>
            </w:pPr>
            <w:r>
              <w:rPr>
                <w:rFonts w:ascii="Muli" w:eastAsia="Muli" w:hAnsi="Muli" w:cs="Muli"/>
                <w:sz w:val="20"/>
                <w:szCs w:val="20"/>
              </w:rPr>
              <w:t>Opportunities for students to articulate, question, and revise their conceptual framework are woven into the instructional resources supporting</w:t>
            </w:r>
            <w:r>
              <w:rPr>
                <w:rFonts w:ascii="Muli" w:eastAsia="Muli" w:hAnsi="Muli" w:cs="Muli"/>
                <w:sz w:val="20"/>
                <w:szCs w:val="20"/>
              </w:rPr>
              <w:t xml:space="preserve"> teachers to assess the progression of their scientifically accurate understandings. Strategies on how to tailor instruction for students requiring more support is provided for teachers. For example, in DQ4 students consider the question: How do we protect</w:t>
            </w:r>
            <w:r>
              <w:rPr>
                <w:rFonts w:ascii="Muli" w:eastAsia="Muli" w:hAnsi="Muli" w:cs="Muli"/>
                <w:sz w:val="20"/>
                <w:szCs w:val="20"/>
              </w:rPr>
              <w:t xml:space="preserve"> endangered or threatened species? They research their chosen endangered species and apply what they learned during the module about reproduction, genetics, and environmental factors to devise conservation plans. They share their plans in their teams, eval</w:t>
            </w:r>
            <w:r>
              <w:rPr>
                <w:rFonts w:ascii="Muli" w:eastAsia="Muli" w:hAnsi="Muli" w:cs="Muli"/>
                <w:sz w:val="20"/>
                <w:szCs w:val="20"/>
              </w:rPr>
              <w:t>uate which of the approaches is strongest and why, and work together to create a list of ways to protect their species. Each team presents their collaborate conservation plan to the class. Students assess their own work and that of two classmates. Once the</w:t>
            </w:r>
            <w:r>
              <w:rPr>
                <w:rFonts w:ascii="Muli" w:eastAsia="Muli" w:hAnsi="Muli" w:cs="Muli"/>
                <w:sz w:val="20"/>
                <w:szCs w:val="20"/>
              </w:rPr>
              <w:t xml:space="preserve"> teacher has completed their own assessment, they compare their rubric to students’ evaluations, checking if students could identify strengths and weaknesses in their and their classmates’ work. This all allows teachers to gain an understanding of how much</w:t>
            </w:r>
            <w:r>
              <w:rPr>
                <w:rFonts w:ascii="Muli" w:eastAsia="Muli" w:hAnsi="Muli" w:cs="Muli"/>
                <w:sz w:val="20"/>
                <w:szCs w:val="20"/>
              </w:rPr>
              <w:t xml:space="preserve"> progress students have made.</w:t>
            </w:r>
          </w:p>
          <w:p w14:paraId="6F7D984B" w14:textId="77777777" w:rsidR="00C56CD1" w:rsidRDefault="00DA00BA">
            <w:pPr>
              <w:pStyle w:val="normal0"/>
              <w:numPr>
                <w:ilvl w:val="0"/>
                <w:numId w:val="3"/>
              </w:numPr>
              <w:contextualSpacing/>
              <w:rPr>
                <w:rFonts w:ascii="Muli" w:eastAsia="Muli" w:hAnsi="Muli" w:cs="Muli"/>
                <w:sz w:val="20"/>
                <w:szCs w:val="20"/>
              </w:rPr>
            </w:pPr>
            <w:r>
              <w:rPr>
                <w:rFonts w:ascii="Muli" w:eastAsia="Muli" w:hAnsi="Muli" w:cs="Muli"/>
                <w:sz w:val="20"/>
                <w:szCs w:val="20"/>
              </w:rPr>
              <w:t xml:space="preserve">Support is given for how to create a positive learning environment where all contributions are valued along with activities that support teamwork and collaboration. Many of the activities involve students working in pairs and </w:t>
            </w:r>
            <w:r>
              <w:rPr>
                <w:rFonts w:ascii="Muli" w:eastAsia="Muli" w:hAnsi="Muli" w:cs="Muli"/>
                <w:sz w:val="20"/>
                <w:szCs w:val="20"/>
              </w:rPr>
              <w:t>teams and they understand what effective teamwork looks and feel like having completed the 3-D Team Challenge at the start of Grade 6 (contained within Module 1, Biotech Systems Worldwide, TE p. 1). Throughout The Red List, students are given many opportun</w:t>
            </w:r>
            <w:r>
              <w:rPr>
                <w:rFonts w:ascii="Muli" w:eastAsia="Muli" w:hAnsi="Muli" w:cs="Muli"/>
                <w:sz w:val="20"/>
                <w:szCs w:val="20"/>
              </w:rPr>
              <w:t xml:space="preserve">ities to support each other. For example, students provide feedback as classmates present their models, and the teacher is supported to emphasize that constructive comments </w:t>
            </w:r>
            <w:r>
              <w:rPr>
                <w:rFonts w:ascii="Muli" w:eastAsia="Muli" w:hAnsi="Muli" w:cs="Muli"/>
                <w:sz w:val="20"/>
                <w:szCs w:val="20"/>
              </w:rPr>
              <w:lastRenderedPageBreak/>
              <w:t>can improve models and that students should always be respectful of their classmate</w:t>
            </w:r>
            <w:r>
              <w:rPr>
                <w:rFonts w:ascii="Muli" w:eastAsia="Muli" w:hAnsi="Muli" w:cs="Muli"/>
                <w:sz w:val="20"/>
                <w:szCs w:val="20"/>
              </w:rPr>
              <w:t>s and their work (DQ2L3 TE p. 118).</w:t>
            </w:r>
          </w:p>
          <w:p w14:paraId="404866B0" w14:textId="77777777" w:rsidR="00C56CD1" w:rsidRDefault="00C56CD1">
            <w:pPr>
              <w:pStyle w:val="normal0"/>
              <w:ind w:left="90"/>
              <w:rPr>
                <w:rFonts w:ascii="Muli" w:eastAsia="Muli" w:hAnsi="Muli" w:cs="Muli"/>
                <w:b/>
                <w:color w:val="FF126D"/>
                <w:sz w:val="20"/>
                <w:szCs w:val="20"/>
              </w:rPr>
            </w:pPr>
          </w:p>
        </w:tc>
      </w:tr>
      <w:tr w:rsidR="00C56CD1" w14:paraId="37F57AAF" w14:textId="77777777">
        <w:trPr>
          <w:trHeight w:val="1920"/>
        </w:trPr>
        <w:tc>
          <w:tcPr>
            <w:tcW w:w="13935" w:type="dxa"/>
            <w:gridSpan w:val="2"/>
            <w:vMerge/>
            <w:tcMar>
              <w:top w:w="99" w:type="dxa"/>
              <w:left w:w="99" w:type="dxa"/>
              <w:bottom w:w="99" w:type="dxa"/>
              <w:right w:w="99" w:type="dxa"/>
            </w:tcMar>
          </w:tcPr>
          <w:p w14:paraId="5111EE72" w14:textId="77777777" w:rsidR="00C56CD1" w:rsidRDefault="00C56CD1">
            <w:pPr>
              <w:pStyle w:val="normal0"/>
              <w:rPr>
                <w:rFonts w:ascii="Muli" w:eastAsia="Muli" w:hAnsi="Muli" w:cs="Muli"/>
                <w:b/>
                <w:color w:val="FF126D"/>
                <w:sz w:val="20"/>
                <w:szCs w:val="20"/>
              </w:rPr>
            </w:pPr>
          </w:p>
        </w:tc>
      </w:tr>
      <w:tr w:rsidR="00C56CD1" w14:paraId="54E797DC" w14:textId="77777777">
        <w:trPr>
          <w:trHeight w:val="640"/>
        </w:trPr>
        <w:tc>
          <w:tcPr>
            <w:tcW w:w="13935" w:type="dxa"/>
            <w:gridSpan w:val="2"/>
            <w:shd w:val="clear" w:color="auto" w:fill="CCCCCC"/>
            <w:tcMar>
              <w:top w:w="99" w:type="dxa"/>
              <w:left w:w="99" w:type="dxa"/>
              <w:bottom w:w="99" w:type="dxa"/>
              <w:right w:w="99" w:type="dxa"/>
            </w:tcMar>
          </w:tcPr>
          <w:p w14:paraId="5F705B4C" w14:textId="77777777" w:rsidR="00C56CD1" w:rsidRDefault="00DA00BA">
            <w:pPr>
              <w:pStyle w:val="normal0"/>
              <w:ind w:left="90"/>
              <w:rPr>
                <w:rFonts w:ascii="Muli" w:eastAsia="Muli" w:hAnsi="Muli" w:cs="Muli"/>
                <w:b/>
                <w:sz w:val="20"/>
                <w:szCs w:val="20"/>
              </w:rPr>
            </w:pPr>
            <w:r>
              <w:rPr>
                <w:rFonts w:ascii="Muli" w:eastAsia="Muli" w:hAnsi="Muli" w:cs="Muli"/>
                <w:b/>
                <w:sz w:val="20"/>
                <w:szCs w:val="20"/>
              </w:rPr>
              <w:lastRenderedPageBreak/>
              <w:t xml:space="preserve">SW3. Prior Knowledge. </w:t>
            </w:r>
          </w:p>
          <w:p w14:paraId="746B56A3" w14:textId="77777777" w:rsidR="00C56CD1" w:rsidRDefault="00DA00BA">
            <w:pPr>
              <w:pStyle w:val="normal0"/>
              <w:ind w:left="90"/>
              <w:rPr>
                <w:rFonts w:ascii="Muli" w:eastAsia="Muli" w:hAnsi="Muli" w:cs="Muli"/>
                <w:b/>
                <w:sz w:val="20"/>
                <w:szCs w:val="20"/>
              </w:rPr>
            </w:pPr>
            <w:r>
              <w:rPr>
                <w:rFonts w:ascii="Muli" w:eastAsia="Muli" w:hAnsi="Muli" w:cs="Muli"/>
                <w:sz w:val="20"/>
                <w:szCs w:val="20"/>
              </w:rPr>
              <w:t>The module provides strong support and strategies to leverage students’ prior knowledge and experiences to motivate learning.</w:t>
            </w:r>
          </w:p>
        </w:tc>
      </w:tr>
      <w:tr w:rsidR="00C56CD1" w14:paraId="18F55332" w14:textId="77777777">
        <w:trPr>
          <w:trHeight w:val="1660"/>
        </w:trPr>
        <w:tc>
          <w:tcPr>
            <w:tcW w:w="8805" w:type="dxa"/>
            <w:tcMar>
              <w:top w:w="99" w:type="dxa"/>
              <w:left w:w="99" w:type="dxa"/>
              <w:bottom w:w="99" w:type="dxa"/>
              <w:right w:w="99" w:type="dxa"/>
            </w:tcMar>
          </w:tcPr>
          <w:p w14:paraId="53B9BB72" w14:textId="77777777" w:rsidR="00C56CD1" w:rsidRDefault="00DA00BA">
            <w:pPr>
              <w:pStyle w:val="normal0"/>
              <w:ind w:left="90"/>
              <w:rPr>
                <w:rFonts w:ascii="Muli" w:eastAsia="Muli" w:hAnsi="Muli" w:cs="Muli"/>
                <w:b/>
                <w:color w:val="FF126D"/>
                <w:sz w:val="20"/>
                <w:szCs w:val="20"/>
              </w:rPr>
            </w:pPr>
            <w:r>
              <w:rPr>
                <w:rFonts w:ascii="Muli" w:eastAsia="Muli" w:hAnsi="Muli" w:cs="Muli"/>
                <w:b/>
                <w:color w:val="FF126D"/>
                <w:sz w:val="20"/>
                <w:szCs w:val="20"/>
              </w:rPr>
              <w:t xml:space="preserve">Evidence </w:t>
            </w:r>
          </w:p>
          <w:p w14:paraId="1758ED2B" w14:textId="77777777" w:rsidR="00C56CD1" w:rsidRDefault="00DA00BA">
            <w:pPr>
              <w:pStyle w:val="normal0"/>
              <w:numPr>
                <w:ilvl w:val="0"/>
                <w:numId w:val="13"/>
              </w:numPr>
              <w:contextualSpacing/>
              <w:rPr>
                <w:rFonts w:ascii="Muli" w:eastAsia="Muli" w:hAnsi="Muli" w:cs="Muli"/>
                <w:sz w:val="20"/>
                <w:szCs w:val="20"/>
              </w:rPr>
            </w:pPr>
            <w:r>
              <w:rPr>
                <w:rFonts w:ascii="Muli" w:eastAsia="Muli" w:hAnsi="Muli" w:cs="Muli"/>
                <w:sz w:val="20"/>
                <w:szCs w:val="20"/>
              </w:rPr>
              <w:t xml:space="preserve">Teachers are supported with strategies to leverage prior knowledge of the relationship between living things and their environment through resources such as a Prior Knowledge Read-Aloud in </w:t>
            </w:r>
            <w:r>
              <w:rPr>
                <w:rFonts w:ascii="Muli" w:eastAsia="Muli" w:hAnsi="Muli" w:cs="Muli"/>
                <w:b/>
                <w:color w:val="FF126D"/>
                <w:sz w:val="20"/>
                <w:szCs w:val="20"/>
              </w:rPr>
              <w:t>DQ1L2 TE p. 20</w:t>
            </w:r>
            <w:r>
              <w:rPr>
                <w:rFonts w:ascii="Muli" w:eastAsia="Muli" w:hAnsi="Muli" w:cs="Muli"/>
                <w:color w:val="0000FF"/>
                <w:sz w:val="20"/>
                <w:szCs w:val="20"/>
              </w:rPr>
              <w:t>.</w:t>
            </w:r>
          </w:p>
          <w:p w14:paraId="498F3B8D" w14:textId="77777777" w:rsidR="00C56CD1" w:rsidRDefault="00C56CD1">
            <w:pPr>
              <w:pStyle w:val="normal0"/>
              <w:rPr>
                <w:rFonts w:ascii="Muli" w:eastAsia="Muli" w:hAnsi="Muli" w:cs="Muli"/>
                <w:b/>
                <w:sz w:val="20"/>
                <w:szCs w:val="20"/>
              </w:rPr>
            </w:pPr>
          </w:p>
        </w:tc>
        <w:tc>
          <w:tcPr>
            <w:tcW w:w="5130" w:type="dxa"/>
            <w:tcMar>
              <w:top w:w="99" w:type="dxa"/>
              <w:left w:w="99" w:type="dxa"/>
              <w:bottom w:w="99" w:type="dxa"/>
              <w:right w:w="99" w:type="dxa"/>
            </w:tcMar>
          </w:tcPr>
          <w:p w14:paraId="16EC5B27" w14:textId="77777777" w:rsidR="00C56CD1" w:rsidRDefault="00DA00BA">
            <w:pPr>
              <w:pStyle w:val="normal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55844185" wp14:editId="4DD26981">
                  <wp:extent cx="2619375" cy="277177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619375" cy="2771775"/>
                          </a:xfrm>
                          <a:prstGeom prst="rect">
                            <a:avLst/>
                          </a:prstGeom>
                          <a:ln/>
                        </pic:spPr>
                      </pic:pic>
                    </a:graphicData>
                  </a:graphic>
                </wp:inline>
              </w:drawing>
            </w:r>
          </w:p>
          <w:p w14:paraId="0471B339" w14:textId="77777777" w:rsidR="00C56CD1" w:rsidRDefault="00DA00BA">
            <w:pPr>
              <w:pStyle w:val="normal0"/>
              <w:rPr>
                <w:rFonts w:ascii="Muli" w:eastAsia="Muli" w:hAnsi="Muli" w:cs="Muli"/>
                <w:b/>
                <w:color w:val="FF126D"/>
                <w:sz w:val="20"/>
                <w:szCs w:val="20"/>
              </w:rPr>
            </w:pPr>
            <w:r>
              <w:rPr>
                <w:rFonts w:ascii="Muli" w:eastAsia="Muli" w:hAnsi="Muli" w:cs="Muli"/>
                <w:b/>
                <w:color w:val="FF126D"/>
                <w:sz w:val="20"/>
                <w:szCs w:val="20"/>
              </w:rPr>
              <w:t>DQ1L2 TE p. 20</w:t>
            </w:r>
          </w:p>
        </w:tc>
      </w:tr>
      <w:tr w:rsidR="00C56CD1" w14:paraId="2C450513" w14:textId="77777777">
        <w:trPr>
          <w:trHeight w:val="1080"/>
        </w:trPr>
        <w:tc>
          <w:tcPr>
            <w:tcW w:w="8805" w:type="dxa"/>
            <w:tcMar>
              <w:top w:w="99" w:type="dxa"/>
              <w:left w:w="99" w:type="dxa"/>
              <w:bottom w:w="99" w:type="dxa"/>
              <w:right w:w="99" w:type="dxa"/>
            </w:tcMar>
          </w:tcPr>
          <w:p w14:paraId="16857591" w14:textId="77777777" w:rsidR="00C56CD1" w:rsidRDefault="00DA00BA">
            <w:pPr>
              <w:pStyle w:val="normal0"/>
              <w:numPr>
                <w:ilvl w:val="0"/>
                <w:numId w:val="13"/>
              </w:numPr>
              <w:contextualSpacing/>
              <w:rPr>
                <w:rFonts w:ascii="Muli" w:eastAsia="Muli" w:hAnsi="Muli" w:cs="Muli"/>
                <w:sz w:val="20"/>
                <w:szCs w:val="20"/>
              </w:rPr>
            </w:pPr>
            <w:r>
              <w:rPr>
                <w:rFonts w:ascii="Muli" w:eastAsia="Muli" w:hAnsi="Muli" w:cs="Muli"/>
                <w:sz w:val="20"/>
                <w:szCs w:val="20"/>
              </w:rPr>
              <w:lastRenderedPageBreak/>
              <w:t xml:space="preserve">Additional support is provided at point of use for strategies to leverage prior knowledge and solve the Module Phenomenon. For example, the teacher is prompted to remind students that what they have learned today will help them as they further investigate </w:t>
            </w:r>
            <w:r>
              <w:rPr>
                <w:rFonts w:ascii="Muli" w:eastAsia="Muli" w:hAnsi="Muli" w:cs="Muli"/>
                <w:sz w:val="20"/>
                <w:szCs w:val="20"/>
              </w:rPr>
              <w:t>the traits caused by inherited genes (</w:t>
            </w:r>
            <w:r>
              <w:rPr>
                <w:rFonts w:ascii="Muli" w:eastAsia="Muli" w:hAnsi="Muli" w:cs="Muli"/>
                <w:b/>
                <w:color w:val="FF126D"/>
                <w:sz w:val="20"/>
                <w:szCs w:val="20"/>
              </w:rPr>
              <w:t>DQ2L4 TE p. 128</w:t>
            </w:r>
            <w:r>
              <w:rPr>
                <w:rFonts w:ascii="Muli" w:eastAsia="Muli" w:hAnsi="Muli" w:cs="Muli"/>
                <w:sz w:val="20"/>
                <w:szCs w:val="20"/>
              </w:rPr>
              <w:t>).</w:t>
            </w:r>
          </w:p>
        </w:tc>
        <w:tc>
          <w:tcPr>
            <w:tcW w:w="5130" w:type="dxa"/>
            <w:tcMar>
              <w:top w:w="99" w:type="dxa"/>
              <w:left w:w="99" w:type="dxa"/>
              <w:bottom w:w="99" w:type="dxa"/>
              <w:right w:w="99" w:type="dxa"/>
            </w:tcMar>
          </w:tcPr>
          <w:p w14:paraId="18FBEB55" w14:textId="77777777" w:rsidR="00C56CD1" w:rsidRDefault="00DA00BA">
            <w:pPr>
              <w:pStyle w:val="normal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1C2650B5" wp14:editId="04F2F73D">
                  <wp:extent cx="3124200" cy="1866900"/>
                  <wp:effectExtent l="12700" t="12700" r="12700" b="12700"/>
                  <wp:docPr id="4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7"/>
                          <a:srcRect/>
                          <a:stretch>
                            <a:fillRect/>
                          </a:stretch>
                        </pic:blipFill>
                        <pic:spPr>
                          <a:xfrm>
                            <a:off x="0" y="0"/>
                            <a:ext cx="3124200" cy="1866900"/>
                          </a:xfrm>
                          <a:prstGeom prst="rect">
                            <a:avLst/>
                          </a:prstGeom>
                          <a:ln w="12700">
                            <a:solidFill>
                              <a:srgbClr val="CCCCCC"/>
                            </a:solidFill>
                            <a:prstDash val="solid"/>
                          </a:ln>
                        </pic:spPr>
                      </pic:pic>
                    </a:graphicData>
                  </a:graphic>
                </wp:inline>
              </w:drawing>
            </w:r>
          </w:p>
          <w:p w14:paraId="137FE370" w14:textId="77777777" w:rsidR="00C56CD1" w:rsidRDefault="00DA00BA">
            <w:pPr>
              <w:pStyle w:val="normal0"/>
              <w:rPr>
                <w:rFonts w:ascii="Muli" w:eastAsia="Muli" w:hAnsi="Muli" w:cs="Muli"/>
                <w:b/>
                <w:color w:val="FF126D"/>
                <w:sz w:val="20"/>
                <w:szCs w:val="20"/>
              </w:rPr>
            </w:pPr>
            <w:r>
              <w:rPr>
                <w:rFonts w:ascii="Muli" w:eastAsia="Muli" w:hAnsi="Muli" w:cs="Muli"/>
                <w:b/>
                <w:color w:val="FF126D"/>
                <w:sz w:val="20"/>
                <w:szCs w:val="20"/>
              </w:rPr>
              <w:t>DQ2L4 TE p. 128</w:t>
            </w:r>
          </w:p>
        </w:tc>
      </w:tr>
      <w:tr w:rsidR="00C56CD1" w14:paraId="095BABE3" w14:textId="77777777">
        <w:trPr>
          <w:trHeight w:val="560"/>
        </w:trPr>
        <w:tc>
          <w:tcPr>
            <w:tcW w:w="13935" w:type="dxa"/>
            <w:gridSpan w:val="2"/>
            <w:shd w:val="clear" w:color="auto" w:fill="CCCCCC"/>
            <w:tcMar>
              <w:top w:w="99" w:type="dxa"/>
              <w:left w:w="99" w:type="dxa"/>
              <w:bottom w:w="99" w:type="dxa"/>
              <w:right w:w="99" w:type="dxa"/>
            </w:tcMar>
          </w:tcPr>
          <w:p w14:paraId="6EE06505" w14:textId="77777777" w:rsidR="00C56CD1" w:rsidRDefault="00DA00BA">
            <w:pPr>
              <w:pStyle w:val="normal0"/>
              <w:ind w:left="90"/>
              <w:rPr>
                <w:rFonts w:ascii="Muli" w:eastAsia="Muli" w:hAnsi="Muli" w:cs="Muli"/>
                <w:b/>
                <w:sz w:val="20"/>
                <w:szCs w:val="20"/>
              </w:rPr>
            </w:pPr>
            <w:r>
              <w:rPr>
                <w:rFonts w:ascii="Muli" w:eastAsia="Muli" w:hAnsi="Muli" w:cs="Muli"/>
                <w:b/>
                <w:sz w:val="20"/>
                <w:szCs w:val="20"/>
              </w:rPr>
              <w:t xml:space="preserve">SW4. Metacognitive Abilities. </w:t>
            </w:r>
          </w:p>
          <w:p w14:paraId="319056B8" w14:textId="77777777" w:rsidR="00C56CD1" w:rsidRDefault="00DA00BA">
            <w:pPr>
              <w:pStyle w:val="normal0"/>
              <w:ind w:left="90"/>
              <w:rPr>
                <w:rFonts w:ascii="Muli" w:eastAsia="Muli" w:hAnsi="Muli" w:cs="Muli"/>
                <w:b/>
                <w:sz w:val="20"/>
                <w:szCs w:val="20"/>
              </w:rPr>
            </w:pPr>
            <w:r>
              <w:rPr>
                <w:rFonts w:ascii="Muli" w:eastAsia="Muli" w:hAnsi="Muli" w:cs="Muli"/>
                <w:sz w:val="20"/>
                <w:szCs w:val="20"/>
              </w:rPr>
              <w:t>The module provides strong support and strategies for how to help students develop metacognitive abilities.</w:t>
            </w:r>
          </w:p>
        </w:tc>
      </w:tr>
      <w:tr w:rsidR="00C56CD1" w14:paraId="365A2140" w14:textId="77777777">
        <w:trPr>
          <w:trHeight w:val="2620"/>
        </w:trPr>
        <w:tc>
          <w:tcPr>
            <w:tcW w:w="8805" w:type="dxa"/>
            <w:tcMar>
              <w:top w:w="99" w:type="dxa"/>
              <w:left w:w="99" w:type="dxa"/>
              <w:bottom w:w="99" w:type="dxa"/>
              <w:right w:w="99" w:type="dxa"/>
            </w:tcMar>
          </w:tcPr>
          <w:p w14:paraId="1CDDCB2E" w14:textId="77777777" w:rsidR="00C56CD1" w:rsidRDefault="00DA00BA">
            <w:pPr>
              <w:pStyle w:val="normal0"/>
              <w:ind w:left="90"/>
              <w:rPr>
                <w:rFonts w:ascii="Muli" w:eastAsia="Muli" w:hAnsi="Muli" w:cs="Muli"/>
                <w:b/>
                <w:color w:val="FF126D"/>
                <w:sz w:val="20"/>
                <w:szCs w:val="20"/>
              </w:rPr>
            </w:pPr>
            <w:r>
              <w:rPr>
                <w:rFonts w:ascii="Muli" w:eastAsia="Muli" w:hAnsi="Muli" w:cs="Muli"/>
                <w:b/>
                <w:color w:val="FF126D"/>
                <w:sz w:val="20"/>
                <w:szCs w:val="20"/>
              </w:rPr>
              <w:t>Evidence</w:t>
            </w:r>
          </w:p>
          <w:p w14:paraId="03C86188" w14:textId="77777777" w:rsidR="00C56CD1" w:rsidRDefault="00DA00BA">
            <w:pPr>
              <w:pStyle w:val="normal0"/>
              <w:numPr>
                <w:ilvl w:val="0"/>
                <w:numId w:val="24"/>
              </w:numPr>
              <w:contextualSpacing/>
              <w:rPr>
                <w:rFonts w:ascii="Muli" w:eastAsia="Muli" w:hAnsi="Muli" w:cs="Muli"/>
                <w:sz w:val="20"/>
                <w:szCs w:val="20"/>
              </w:rPr>
            </w:pPr>
            <w:r>
              <w:rPr>
                <w:rFonts w:ascii="Muli" w:eastAsia="Muli" w:hAnsi="Muli" w:cs="Muli"/>
                <w:sz w:val="20"/>
                <w:szCs w:val="20"/>
              </w:rPr>
              <w:t>Support is given at point of use for how to develop students’ metacognitive abilities. The Connect of the lesson often guides the teacher to draw students’ attention to their growing use of the SEPs and CCCs, understanding of the Driving Question, or abili</w:t>
            </w:r>
            <w:r>
              <w:rPr>
                <w:rFonts w:ascii="Muli" w:eastAsia="Muli" w:hAnsi="Muli" w:cs="Muli"/>
                <w:sz w:val="20"/>
                <w:szCs w:val="20"/>
              </w:rPr>
              <w:t xml:space="preserve">ty to solve the Module Phenomenon. For example, the teacher is supported to help students identify their use of SEP-8 </w:t>
            </w:r>
            <w:r>
              <w:rPr>
                <w:rFonts w:ascii="Muli" w:eastAsia="Muli" w:hAnsi="Muli" w:cs="Muli"/>
                <w:b/>
                <w:color w:val="FF126D"/>
                <w:sz w:val="20"/>
                <w:szCs w:val="20"/>
              </w:rPr>
              <w:t>(DQ1L8 TE p. 70)</w:t>
            </w:r>
            <w:r>
              <w:rPr>
                <w:rFonts w:ascii="Muli" w:eastAsia="Muli" w:hAnsi="Muli" w:cs="Muli"/>
                <w:sz w:val="20"/>
                <w:szCs w:val="20"/>
              </w:rPr>
              <w:t xml:space="preserve"> and their use of SEP-2 (DQ2L6 TE p. 144), and in DQ2 L9 students connect their learning to the Driving Question (</w:t>
            </w:r>
            <w:r>
              <w:rPr>
                <w:rFonts w:ascii="Muli" w:eastAsia="Muli" w:hAnsi="Muli" w:cs="Muli"/>
                <w:b/>
                <w:color w:val="FF126D"/>
                <w:sz w:val="20"/>
                <w:szCs w:val="20"/>
              </w:rPr>
              <w:t>DQ2L9 TE</w:t>
            </w:r>
            <w:r>
              <w:rPr>
                <w:rFonts w:ascii="Muli" w:eastAsia="Muli" w:hAnsi="Muli" w:cs="Muli"/>
                <w:b/>
                <w:color w:val="FF126D"/>
                <w:sz w:val="20"/>
                <w:szCs w:val="20"/>
              </w:rPr>
              <w:t xml:space="preserve"> p. 168</w:t>
            </w:r>
            <w:r>
              <w:rPr>
                <w:rFonts w:ascii="Muli" w:eastAsia="Muli" w:hAnsi="Muli" w:cs="Muli"/>
                <w:sz w:val="20"/>
                <w:szCs w:val="20"/>
              </w:rPr>
              <w:t>).</w:t>
            </w:r>
          </w:p>
        </w:tc>
        <w:tc>
          <w:tcPr>
            <w:tcW w:w="5130" w:type="dxa"/>
            <w:tcMar>
              <w:top w:w="99" w:type="dxa"/>
              <w:left w:w="99" w:type="dxa"/>
              <w:bottom w:w="99" w:type="dxa"/>
              <w:right w:w="99" w:type="dxa"/>
            </w:tcMar>
          </w:tcPr>
          <w:p w14:paraId="39524C43" w14:textId="77777777" w:rsidR="00C56CD1" w:rsidRDefault="00DA00BA">
            <w:pPr>
              <w:pStyle w:val="normal0"/>
              <w:ind w:left="90" w:hanging="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78039D93" wp14:editId="3DC0F601">
                  <wp:extent cx="3124200" cy="1701800"/>
                  <wp:effectExtent l="12700" t="12700" r="12700" b="12700"/>
                  <wp:docPr id="3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3124200" cy="1701800"/>
                          </a:xfrm>
                          <a:prstGeom prst="rect">
                            <a:avLst/>
                          </a:prstGeom>
                          <a:ln w="12700">
                            <a:solidFill>
                              <a:srgbClr val="CCCCCC"/>
                            </a:solidFill>
                            <a:prstDash val="solid"/>
                          </a:ln>
                        </pic:spPr>
                      </pic:pic>
                    </a:graphicData>
                  </a:graphic>
                </wp:inline>
              </w:drawing>
            </w:r>
          </w:p>
          <w:p w14:paraId="2544867A" w14:textId="77777777" w:rsidR="00C56CD1" w:rsidRDefault="00DA00BA">
            <w:pPr>
              <w:pStyle w:val="normal0"/>
              <w:rPr>
                <w:rFonts w:ascii="Muli" w:eastAsia="Muli" w:hAnsi="Muli" w:cs="Muli"/>
                <w:b/>
                <w:color w:val="FF126D"/>
                <w:sz w:val="20"/>
                <w:szCs w:val="20"/>
              </w:rPr>
            </w:pPr>
            <w:r>
              <w:rPr>
                <w:rFonts w:ascii="Muli" w:eastAsia="Muli" w:hAnsi="Muli" w:cs="Muli"/>
                <w:b/>
                <w:color w:val="FF126D"/>
                <w:sz w:val="20"/>
                <w:szCs w:val="20"/>
              </w:rPr>
              <w:t>DQ1L8 TE p. 70</w:t>
            </w:r>
          </w:p>
          <w:p w14:paraId="50E7AB85" w14:textId="77777777" w:rsidR="00C56CD1" w:rsidRDefault="00C56CD1">
            <w:pPr>
              <w:pStyle w:val="normal0"/>
              <w:rPr>
                <w:rFonts w:ascii="Muli" w:eastAsia="Muli" w:hAnsi="Muli" w:cs="Muli"/>
                <w:b/>
                <w:color w:val="FF126D"/>
                <w:sz w:val="20"/>
                <w:szCs w:val="20"/>
              </w:rPr>
            </w:pPr>
          </w:p>
          <w:p w14:paraId="62ABE5CE" w14:textId="77777777" w:rsidR="00C56CD1" w:rsidRDefault="00DA00BA">
            <w:pPr>
              <w:pStyle w:val="normal0"/>
              <w:ind w:left="90" w:hanging="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2EAA69E4" wp14:editId="5AAD2E63">
                  <wp:extent cx="2933700" cy="1485900"/>
                  <wp:effectExtent l="12700" t="12700" r="12700" b="1270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r="6097"/>
                          <a:stretch>
                            <a:fillRect/>
                          </a:stretch>
                        </pic:blipFill>
                        <pic:spPr>
                          <a:xfrm>
                            <a:off x="0" y="0"/>
                            <a:ext cx="2933700" cy="1485900"/>
                          </a:xfrm>
                          <a:prstGeom prst="rect">
                            <a:avLst/>
                          </a:prstGeom>
                          <a:ln w="12700">
                            <a:solidFill>
                              <a:srgbClr val="CCCCCC"/>
                            </a:solidFill>
                            <a:prstDash val="solid"/>
                          </a:ln>
                        </pic:spPr>
                      </pic:pic>
                    </a:graphicData>
                  </a:graphic>
                </wp:inline>
              </w:drawing>
            </w:r>
          </w:p>
          <w:p w14:paraId="779BFD87" w14:textId="77777777" w:rsidR="00C56CD1" w:rsidRDefault="00DA00BA">
            <w:pPr>
              <w:pStyle w:val="normal0"/>
              <w:rPr>
                <w:rFonts w:ascii="Muli" w:eastAsia="Muli" w:hAnsi="Muli" w:cs="Muli"/>
                <w:b/>
                <w:color w:val="FF126D"/>
                <w:sz w:val="20"/>
                <w:szCs w:val="20"/>
              </w:rPr>
            </w:pPr>
            <w:r>
              <w:rPr>
                <w:rFonts w:ascii="Muli" w:eastAsia="Muli" w:hAnsi="Muli" w:cs="Muli"/>
                <w:b/>
                <w:color w:val="FF126D"/>
                <w:sz w:val="20"/>
                <w:szCs w:val="20"/>
              </w:rPr>
              <w:t>DQ2L9 TE p. 168</w:t>
            </w:r>
          </w:p>
        </w:tc>
      </w:tr>
      <w:tr w:rsidR="00C56CD1" w14:paraId="4E0BE893" w14:textId="77777777">
        <w:trPr>
          <w:trHeight w:val="1240"/>
        </w:trPr>
        <w:tc>
          <w:tcPr>
            <w:tcW w:w="8805" w:type="dxa"/>
            <w:tcMar>
              <w:top w:w="99" w:type="dxa"/>
              <w:left w:w="99" w:type="dxa"/>
              <w:bottom w:w="99" w:type="dxa"/>
              <w:right w:w="99" w:type="dxa"/>
            </w:tcMar>
          </w:tcPr>
          <w:p w14:paraId="3ABA5BCF" w14:textId="77777777" w:rsidR="00C56CD1" w:rsidRDefault="00DA00BA">
            <w:pPr>
              <w:pStyle w:val="normal0"/>
              <w:numPr>
                <w:ilvl w:val="0"/>
                <w:numId w:val="24"/>
              </w:numPr>
              <w:contextualSpacing/>
              <w:rPr>
                <w:rFonts w:ascii="Muli" w:eastAsia="Muli" w:hAnsi="Muli" w:cs="Muli"/>
                <w:sz w:val="20"/>
                <w:szCs w:val="20"/>
              </w:rPr>
            </w:pPr>
            <w:r>
              <w:rPr>
                <w:rFonts w:ascii="Muli" w:eastAsia="Muli" w:hAnsi="Muli" w:cs="Muli"/>
                <w:sz w:val="20"/>
                <w:szCs w:val="20"/>
              </w:rPr>
              <w:lastRenderedPageBreak/>
              <w:t>Discussions following diagnostic pre-assessments (Pre-Explorations) in DQ1L1, DQ2L1, and DQ3L1 support teachers to track students’ understanding of the three dimensions that make up the module’s Performance Expectations. See for example DQ1L8 Investigate T</w:t>
            </w:r>
            <w:r>
              <w:rPr>
                <w:rFonts w:ascii="Muli" w:eastAsia="Muli" w:hAnsi="Muli" w:cs="Muli"/>
                <w:sz w:val="20"/>
                <w:szCs w:val="20"/>
              </w:rPr>
              <w:t xml:space="preserve">E p. 68, </w:t>
            </w:r>
            <w:r>
              <w:rPr>
                <w:rFonts w:ascii="Muli" w:eastAsia="Muli" w:hAnsi="Muli" w:cs="Muli"/>
                <w:b/>
                <w:color w:val="FF126D"/>
                <w:sz w:val="20"/>
                <w:szCs w:val="20"/>
              </w:rPr>
              <w:t>DQ2L9 Connect TE p. 167</w:t>
            </w:r>
            <w:r>
              <w:rPr>
                <w:rFonts w:ascii="Muli" w:eastAsia="Muli" w:hAnsi="Muli" w:cs="Muli"/>
                <w:sz w:val="20"/>
                <w:szCs w:val="20"/>
              </w:rPr>
              <w:t xml:space="preserve">, DQ3L7 Report TE p. 234.  </w:t>
            </w:r>
          </w:p>
        </w:tc>
        <w:tc>
          <w:tcPr>
            <w:tcW w:w="5130" w:type="dxa"/>
            <w:tcMar>
              <w:top w:w="99" w:type="dxa"/>
              <w:left w:w="99" w:type="dxa"/>
              <w:bottom w:w="99" w:type="dxa"/>
              <w:right w:w="99" w:type="dxa"/>
            </w:tcMar>
          </w:tcPr>
          <w:p w14:paraId="1A60D996" w14:textId="77777777" w:rsidR="00C56CD1" w:rsidRDefault="00DA00BA">
            <w:pPr>
              <w:pStyle w:val="normal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40D96EA5" wp14:editId="7076923F">
                  <wp:extent cx="3019425" cy="1790700"/>
                  <wp:effectExtent l="12700" t="12700" r="12700" b="12700"/>
                  <wp:docPr id="3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srcRect r="3353" b="4081"/>
                          <a:stretch>
                            <a:fillRect/>
                          </a:stretch>
                        </pic:blipFill>
                        <pic:spPr>
                          <a:xfrm>
                            <a:off x="0" y="0"/>
                            <a:ext cx="3019425" cy="1790700"/>
                          </a:xfrm>
                          <a:prstGeom prst="rect">
                            <a:avLst/>
                          </a:prstGeom>
                          <a:ln w="12700">
                            <a:solidFill>
                              <a:srgbClr val="D9D9D9"/>
                            </a:solidFill>
                            <a:prstDash val="solid"/>
                          </a:ln>
                        </pic:spPr>
                      </pic:pic>
                    </a:graphicData>
                  </a:graphic>
                </wp:inline>
              </w:drawing>
            </w:r>
          </w:p>
          <w:p w14:paraId="10880A9D" w14:textId="77777777" w:rsidR="00C56CD1" w:rsidRDefault="00DA00BA">
            <w:pPr>
              <w:pStyle w:val="normal0"/>
              <w:rPr>
                <w:rFonts w:ascii="Muli" w:eastAsia="Muli" w:hAnsi="Muli" w:cs="Muli"/>
                <w:b/>
                <w:color w:val="FF126D"/>
                <w:sz w:val="20"/>
                <w:szCs w:val="20"/>
              </w:rPr>
            </w:pPr>
            <w:r>
              <w:rPr>
                <w:rFonts w:ascii="Muli" w:eastAsia="Muli" w:hAnsi="Muli" w:cs="Muli"/>
                <w:b/>
                <w:color w:val="FF126D"/>
                <w:sz w:val="20"/>
                <w:szCs w:val="20"/>
              </w:rPr>
              <w:t>DQ2L9 Connect TE p. 167</w:t>
            </w:r>
          </w:p>
        </w:tc>
      </w:tr>
      <w:tr w:rsidR="00C56CD1" w14:paraId="62C37D0E" w14:textId="77777777">
        <w:trPr>
          <w:trHeight w:val="1020"/>
        </w:trPr>
        <w:tc>
          <w:tcPr>
            <w:tcW w:w="8805" w:type="dxa"/>
            <w:tcMar>
              <w:top w:w="99" w:type="dxa"/>
              <w:left w:w="99" w:type="dxa"/>
              <w:bottom w:w="99" w:type="dxa"/>
              <w:right w:w="99" w:type="dxa"/>
            </w:tcMar>
          </w:tcPr>
          <w:p w14:paraId="39E62A71" w14:textId="77777777" w:rsidR="00C56CD1" w:rsidRDefault="00DA00BA">
            <w:pPr>
              <w:pStyle w:val="normal0"/>
              <w:numPr>
                <w:ilvl w:val="0"/>
                <w:numId w:val="24"/>
              </w:numPr>
              <w:contextualSpacing/>
              <w:rPr>
                <w:rFonts w:ascii="Muli" w:eastAsia="Muli" w:hAnsi="Muli" w:cs="Muli"/>
                <w:sz w:val="20"/>
                <w:szCs w:val="20"/>
              </w:rPr>
            </w:pPr>
            <w:r>
              <w:rPr>
                <w:rFonts w:ascii="Muli" w:eastAsia="Muli" w:hAnsi="Muli" w:cs="Muli"/>
                <w:sz w:val="20"/>
                <w:szCs w:val="20"/>
              </w:rPr>
              <w:t>Meta-Think-Aloud language routines support teachers in helping students develop an understanding of how they learn particular concepts or why they approach activities in</w:t>
            </w:r>
            <w:r>
              <w:rPr>
                <w:rFonts w:ascii="Muli" w:eastAsia="Muli" w:hAnsi="Muli" w:cs="Muli"/>
                <w:sz w:val="20"/>
                <w:szCs w:val="20"/>
              </w:rPr>
              <w:t xml:space="preserve"> certain ways. For example, guidance is provided to help the teacher show how a reader might figure out the meaning of the word </w:t>
            </w:r>
            <w:r>
              <w:rPr>
                <w:rFonts w:ascii="Muli" w:eastAsia="Muli" w:hAnsi="Muli" w:cs="Muli"/>
                <w:i/>
                <w:sz w:val="20"/>
                <w:szCs w:val="20"/>
              </w:rPr>
              <w:t>gestation</w:t>
            </w:r>
            <w:r>
              <w:rPr>
                <w:rFonts w:ascii="Muli" w:eastAsia="Muli" w:hAnsi="Muli" w:cs="Muli"/>
                <w:sz w:val="20"/>
                <w:szCs w:val="20"/>
              </w:rPr>
              <w:t xml:space="preserve"> </w:t>
            </w:r>
            <w:r>
              <w:rPr>
                <w:rFonts w:ascii="Muli" w:eastAsia="Muli" w:hAnsi="Muli" w:cs="Muli"/>
                <w:b/>
                <w:color w:val="FF126D"/>
                <w:sz w:val="20"/>
                <w:szCs w:val="20"/>
              </w:rPr>
              <w:t>(DQ1L7 TE p. 59)</w:t>
            </w:r>
            <w:r>
              <w:rPr>
                <w:rFonts w:ascii="Muli" w:eastAsia="Muli" w:hAnsi="Muli" w:cs="Muli"/>
                <w:sz w:val="20"/>
                <w:szCs w:val="20"/>
              </w:rPr>
              <w:t>.</w:t>
            </w:r>
          </w:p>
        </w:tc>
        <w:tc>
          <w:tcPr>
            <w:tcW w:w="5130" w:type="dxa"/>
            <w:tcMar>
              <w:top w:w="99" w:type="dxa"/>
              <w:left w:w="99" w:type="dxa"/>
              <w:bottom w:w="99" w:type="dxa"/>
              <w:right w:w="99" w:type="dxa"/>
            </w:tcMar>
          </w:tcPr>
          <w:p w14:paraId="4DF6FF20" w14:textId="77777777" w:rsidR="00C56CD1" w:rsidRDefault="00DA00BA">
            <w:pPr>
              <w:pStyle w:val="normal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0FD560B8" wp14:editId="07EC20A1">
                  <wp:extent cx="3124200" cy="1574800"/>
                  <wp:effectExtent l="12700" t="12700" r="12700" b="12700"/>
                  <wp:docPr id="2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0"/>
                          <a:srcRect/>
                          <a:stretch>
                            <a:fillRect/>
                          </a:stretch>
                        </pic:blipFill>
                        <pic:spPr>
                          <a:xfrm>
                            <a:off x="0" y="0"/>
                            <a:ext cx="3124200" cy="1574800"/>
                          </a:xfrm>
                          <a:prstGeom prst="rect">
                            <a:avLst/>
                          </a:prstGeom>
                          <a:ln w="12700">
                            <a:solidFill>
                              <a:srgbClr val="CCCCCC"/>
                            </a:solidFill>
                            <a:prstDash val="solid"/>
                          </a:ln>
                        </pic:spPr>
                      </pic:pic>
                    </a:graphicData>
                  </a:graphic>
                </wp:inline>
              </w:drawing>
            </w:r>
          </w:p>
          <w:p w14:paraId="17A652CF" w14:textId="77777777" w:rsidR="00C56CD1" w:rsidRDefault="00DA00BA">
            <w:pPr>
              <w:pStyle w:val="normal0"/>
              <w:rPr>
                <w:rFonts w:ascii="Muli" w:eastAsia="Muli" w:hAnsi="Muli" w:cs="Muli"/>
                <w:b/>
                <w:color w:val="FF126D"/>
                <w:sz w:val="20"/>
                <w:szCs w:val="20"/>
              </w:rPr>
            </w:pPr>
            <w:r>
              <w:rPr>
                <w:rFonts w:ascii="Muli" w:eastAsia="Muli" w:hAnsi="Muli" w:cs="Muli"/>
                <w:b/>
                <w:color w:val="FF126D"/>
                <w:sz w:val="20"/>
                <w:szCs w:val="20"/>
              </w:rPr>
              <w:t>DQ1L7 TE p. 59</w:t>
            </w:r>
          </w:p>
        </w:tc>
      </w:tr>
      <w:tr w:rsidR="00C56CD1" w14:paraId="5B5171C5" w14:textId="77777777">
        <w:trPr>
          <w:trHeight w:val="680"/>
        </w:trPr>
        <w:tc>
          <w:tcPr>
            <w:tcW w:w="13935" w:type="dxa"/>
            <w:gridSpan w:val="2"/>
            <w:shd w:val="clear" w:color="auto" w:fill="CCCCCC"/>
            <w:tcMar>
              <w:top w:w="99" w:type="dxa"/>
              <w:left w:w="99" w:type="dxa"/>
              <w:bottom w:w="99" w:type="dxa"/>
              <w:right w:w="99" w:type="dxa"/>
            </w:tcMar>
          </w:tcPr>
          <w:p w14:paraId="00A16239" w14:textId="77777777" w:rsidR="00C56CD1" w:rsidRDefault="00DA00BA">
            <w:pPr>
              <w:pStyle w:val="normal0"/>
              <w:ind w:left="90"/>
              <w:rPr>
                <w:rFonts w:ascii="Muli" w:eastAsia="Muli" w:hAnsi="Muli" w:cs="Muli"/>
                <w:b/>
                <w:sz w:val="20"/>
                <w:szCs w:val="20"/>
              </w:rPr>
            </w:pPr>
            <w:r>
              <w:rPr>
                <w:rFonts w:ascii="Muli" w:eastAsia="Muli" w:hAnsi="Muli" w:cs="Muli"/>
                <w:b/>
                <w:sz w:val="20"/>
                <w:szCs w:val="20"/>
              </w:rPr>
              <w:t>SW5. Equitable Learning Opportunities.</w:t>
            </w:r>
          </w:p>
          <w:p w14:paraId="4A41D9E8" w14:textId="77777777" w:rsidR="00C56CD1" w:rsidRDefault="00DA00BA">
            <w:pPr>
              <w:pStyle w:val="normal0"/>
              <w:ind w:left="90"/>
              <w:rPr>
                <w:rFonts w:ascii="Muli" w:eastAsia="Muli" w:hAnsi="Muli" w:cs="Muli"/>
                <w:b/>
                <w:sz w:val="20"/>
                <w:szCs w:val="20"/>
              </w:rPr>
            </w:pPr>
            <w:r>
              <w:rPr>
                <w:rFonts w:ascii="Muli" w:eastAsia="Muli" w:hAnsi="Muli" w:cs="Muli"/>
                <w:sz w:val="20"/>
                <w:szCs w:val="20"/>
              </w:rPr>
              <w:t>This module provides strong resources and strategies to ensure that all students have access to the targeted learning goals and experiences.</w:t>
            </w:r>
          </w:p>
        </w:tc>
      </w:tr>
      <w:tr w:rsidR="00C56CD1" w14:paraId="48F1DEF7" w14:textId="77777777">
        <w:trPr>
          <w:trHeight w:val="2620"/>
        </w:trPr>
        <w:tc>
          <w:tcPr>
            <w:tcW w:w="8805" w:type="dxa"/>
            <w:tcMar>
              <w:top w:w="99" w:type="dxa"/>
              <w:left w:w="99" w:type="dxa"/>
              <w:bottom w:w="99" w:type="dxa"/>
              <w:right w:w="99" w:type="dxa"/>
            </w:tcMar>
          </w:tcPr>
          <w:p w14:paraId="5E868BB9" w14:textId="77777777" w:rsidR="00C56CD1" w:rsidRDefault="00DA00BA">
            <w:pPr>
              <w:pStyle w:val="normal0"/>
              <w:ind w:left="90"/>
              <w:rPr>
                <w:rFonts w:ascii="Muli" w:eastAsia="Muli" w:hAnsi="Muli" w:cs="Muli"/>
                <w:color w:val="FF126D"/>
                <w:sz w:val="20"/>
                <w:szCs w:val="20"/>
                <w:shd w:val="clear" w:color="auto" w:fill="F4CCCC"/>
              </w:rPr>
            </w:pPr>
            <w:r>
              <w:rPr>
                <w:rFonts w:ascii="Muli" w:eastAsia="Muli" w:hAnsi="Muli" w:cs="Muli"/>
                <w:b/>
                <w:color w:val="FF126D"/>
                <w:sz w:val="20"/>
                <w:szCs w:val="20"/>
              </w:rPr>
              <w:lastRenderedPageBreak/>
              <w:t>Evidence</w:t>
            </w:r>
          </w:p>
          <w:p w14:paraId="6AAB2D65" w14:textId="77777777" w:rsidR="00C56CD1" w:rsidRDefault="00DA00BA">
            <w:pPr>
              <w:pStyle w:val="normal0"/>
              <w:numPr>
                <w:ilvl w:val="0"/>
                <w:numId w:val="23"/>
              </w:numPr>
              <w:contextualSpacing/>
              <w:rPr>
                <w:rFonts w:ascii="Muli" w:eastAsia="Muli" w:hAnsi="Muli" w:cs="Muli"/>
                <w:sz w:val="20"/>
                <w:szCs w:val="20"/>
              </w:rPr>
            </w:pPr>
            <w:r>
              <w:rPr>
                <w:rFonts w:ascii="Muli" w:eastAsia="Muli" w:hAnsi="Muli" w:cs="Muli"/>
                <w:sz w:val="20"/>
                <w:szCs w:val="20"/>
              </w:rPr>
              <w:t>Frequent support is given at point of use in all lessons on strategies to ensure that all students have a</w:t>
            </w:r>
            <w:r>
              <w:rPr>
                <w:rFonts w:ascii="Muli" w:eastAsia="Muli" w:hAnsi="Muli" w:cs="Muli"/>
                <w:sz w:val="20"/>
                <w:szCs w:val="20"/>
              </w:rPr>
              <w:t xml:space="preserve">ccess to the targeted learning goals. Numerous scaffolds are provided for Special Needs, English Learner, and Standard English Learner students, for example, in </w:t>
            </w:r>
            <w:r>
              <w:rPr>
                <w:rFonts w:ascii="Muli" w:eastAsia="Muli" w:hAnsi="Muli" w:cs="Muli"/>
                <w:b/>
                <w:color w:val="FF126D"/>
                <w:sz w:val="20"/>
                <w:szCs w:val="20"/>
              </w:rPr>
              <w:t>DQ1L8 TE p. 68</w:t>
            </w:r>
            <w:r>
              <w:rPr>
                <w:rFonts w:ascii="Muli" w:eastAsia="Muli" w:hAnsi="Muli" w:cs="Muli"/>
                <w:sz w:val="20"/>
                <w:szCs w:val="20"/>
              </w:rPr>
              <w:t xml:space="preserve">, DQ2L8 TE p. 157, and DQ3L5 TE p. 218. </w:t>
            </w:r>
          </w:p>
          <w:p w14:paraId="43F958D4" w14:textId="77777777" w:rsidR="00C56CD1" w:rsidRDefault="00C56CD1">
            <w:pPr>
              <w:pStyle w:val="normal0"/>
              <w:ind w:left="720"/>
              <w:rPr>
                <w:rFonts w:ascii="Muli" w:eastAsia="Muli" w:hAnsi="Muli" w:cs="Muli"/>
                <w:sz w:val="20"/>
                <w:szCs w:val="20"/>
              </w:rPr>
            </w:pPr>
          </w:p>
          <w:p w14:paraId="4FD18E63" w14:textId="77777777" w:rsidR="00C56CD1" w:rsidRDefault="00C56CD1">
            <w:pPr>
              <w:pStyle w:val="normal0"/>
              <w:rPr>
                <w:rFonts w:ascii="Muli" w:eastAsia="Muli" w:hAnsi="Muli" w:cs="Muli"/>
                <w:b/>
                <w:sz w:val="20"/>
                <w:szCs w:val="20"/>
              </w:rPr>
            </w:pPr>
          </w:p>
        </w:tc>
        <w:tc>
          <w:tcPr>
            <w:tcW w:w="5130" w:type="dxa"/>
            <w:tcMar>
              <w:top w:w="99" w:type="dxa"/>
              <w:left w:w="99" w:type="dxa"/>
              <w:bottom w:w="99" w:type="dxa"/>
              <w:right w:w="99" w:type="dxa"/>
            </w:tcMar>
          </w:tcPr>
          <w:p w14:paraId="35504FD8" w14:textId="77777777" w:rsidR="00C56CD1" w:rsidRDefault="00DA00BA">
            <w:pPr>
              <w:pStyle w:val="normal0"/>
              <w:ind w:lef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08AC734B" wp14:editId="5ACFBD91">
                  <wp:extent cx="2428875" cy="219075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428875" cy="2190750"/>
                          </a:xfrm>
                          <a:prstGeom prst="rect">
                            <a:avLst/>
                          </a:prstGeom>
                          <a:ln/>
                        </pic:spPr>
                      </pic:pic>
                    </a:graphicData>
                  </a:graphic>
                </wp:inline>
              </w:drawing>
            </w:r>
          </w:p>
          <w:p w14:paraId="6513F02D" w14:textId="77777777" w:rsidR="00C56CD1" w:rsidRDefault="00DA00BA">
            <w:pPr>
              <w:pStyle w:val="normal0"/>
              <w:ind w:left="90"/>
              <w:rPr>
                <w:rFonts w:ascii="Muli" w:eastAsia="Muli" w:hAnsi="Muli" w:cs="Muli"/>
                <w:b/>
                <w:color w:val="FF126D"/>
                <w:sz w:val="20"/>
                <w:szCs w:val="20"/>
              </w:rPr>
            </w:pPr>
            <w:r>
              <w:rPr>
                <w:rFonts w:ascii="Muli" w:eastAsia="Muli" w:hAnsi="Muli" w:cs="Muli"/>
                <w:b/>
                <w:color w:val="FF126D"/>
                <w:sz w:val="20"/>
                <w:szCs w:val="20"/>
              </w:rPr>
              <w:t>DQ1L8 TE p. 68</w:t>
            </w:r>
          </w:p>
        </w:tc>
      </w:tr>
      <w:tr w:rsidR="00C56CD1" w14:paraId="31B7754C" w14:textId="77777777">
        <w:trPr>
          <w:trHeight w:val="2620"/>
        </w:trPr>
        <w:tc>
          <w:tcPr>
            <w:tcW w:w="8805" w:type="dxa"/>
            <w:tcMar>
              <w:top w:w="99" w:type="dxa"/>
              <w:left w:w="99" w:type="dxa"/>
              <w:bottom w:w="99" w:type="dxa"/>
              <w:right w:w="99" w:type="dxa"/>
            </w:tcMar>
          </w:tcPr>
          <w:p w14:paraId="020383CC" w14:textId="77777777" w:rsidR="00C56CD1" w:rsidRDefault="00DA00BA">
            <w:pPr>
              <w:pStyle w:val="normal0"/>
              <w:numPr>
                <w:ilvl w:val="0"/>
                <w:numId w:val="23"/>
              </w:numPr>
              <w:contextualSpacing/>
              <w:rPr>
                <w:rFonts w:ascii="Muli" w:eastAsia="Muli" w:hAnsi="Muli" w:cs="Muli"/>
                <w:sz w:val="20"/>
                <w:szCs w:val="20"/>
              </w:rPr>
            </w:pPr>
            <w:r>
              <w:rPr>
                <w:rFonts w:ascii="Muli" w:eastAsia="Muli" w:hAnsi="Muli" w:cs="Muli"/>
                <w:sz w:val="20"/>
                <w:szCs w:val="20"/>
              </w:rPr>
              <w:t xml:space="preserve">The </w:t>
            </w:r>
            <w:r>
              <w:rPr>
                <w:rFonts w:ascii="Muli" w:eastAsia="Muli" w:hAnsi="Muli" w:cs="Muli"/>
                <w:b/>
                <w:i/>
                <w:color w:val="FF126D"/>
                <w:sz w:val="20"/>
                <w:szCs w:val="20"/>
              </w:rPr>
              <w:t xml:space="preserve">Biomes </w:t>
            </w:r>
            <w:r>
              <w:rPr>
                <w:rFonts w:ascii="Muli" w:eastAsia="Muli" w:hAnsi="Muli" w:cs="Muli"/>
                <w:b/>
                <w:color w:val="FF126D"/>
                <w:sz w:val="20"/>
                <w:szCs w:val="20"/>
              </w:rPr>
              <w:t>Leveled Reader</w:t>
            </w:r>
            <w:r>
              <w:rPr>
                <w:rFonts w:ascii="Muli" w:eastAsia="Muli" w:hAnsi="Muli" w:cs="Muli"/>
                <w:sz w:val="20"/>
                <w:szCs w:val="20"/>
              </w:rPr>
              <w:t xml:space="preserve"> that complements the module is provided at four levels—Above, On, Below and English Learner—with matching lesson instruction in the TEs/online.</w:t>
            </w:r>
          </w:p>
          <w:p w14:paraId="5BE3E952" w14:textId="77777777" w:rsidR="00C56CD1" w:rsidRDefault="00DA00BA">
            <w:pPr>
              <w:pStyle w:val="normal0"/>
              <w:numPr>
                <w:ilvl w:val="0"/>
                <w:numId w:val="23"/>
              </w:numPr>
              <w:contextualSpacing/>
              <w:rPr>
                <w:rFonts w:ascii="Muli" w:eastAsia="Muli" w:hAnsi="Muli" w:cs="Muli"/>
                <w:sz w:val="20"/>
                <w:szCs w:val="20"/>
              </w:rPr>
            </w:pPr>
            <w:r>
              <w:rPr>
                <w:rFonts w:ascii="Muli" w:eastAsia="Muli" w:hAnsi="Muli" w:cs="Muli"/>
                <w:sz w:val="20"/>
                <w:szCs w:val="20"/>
              </w:rPr>
              <w:t>Digital versions of the Twig Book and readers have text to speech functions.</w:t>
            </w:r>
          </w:p>
        </w:tc>
        <w:tc>
          <w:tcPr>
            <w:tcW w:w="5130" w:type="dxa"/>
            <w:tcMar>
              <w:top w:w="99" w:type="dxa"/>
              <w:left w:w="99" w:type="dxa"/>
              <w:bottom w:w="99" w:type="dxa"/>
              <w:right w:w="99" w:type="dxa"/>
            </w:tcMar>
          </w:tcPr>
          <w:p w14:paraId="517AE22E" w14:textId="77777777" w:rsidR="00C56CD1" w:rsidRDefault="00DA00BA">
            <w:pPr>
              <w:pStyle w:val="normal0"/>
              <w:ind w:left="9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6EA83BCA" wp14:editId="470AA599">
                  <wp:extent cx="3014663" cy="1442994"/>
                  <wp:effectExtent l="0" t="0" r="0" b="0"/>
                  <wp:docPr id="1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2"/>
                          <a:srcRect/>
                          <a:stretch>
                            <a:fillRect/>
                          </a:stretch>
                        </pic:blipFill>
                        <pic:spPr>
                          <a:xfrm>
                            <a:off x="0" y="0"/>
                            <a:ext cx="3014663" cy="1442994"/>
                          </a:xfrm>
                          <a:prstGeom prst="rect">
                            <a:avLst/>
                          </a:prstGeom>
                          <a:ln/>
                        </pic:spPr>
                      </pic:pic>
                    </a:graphicData>
                  </a:graphic>
                </wp:inline>
              </w:drawing>
            </w:r>
          </w:p>
          <w:p w14:paraId="7243E50F" w14:textId="77777777" w:rsidR="00C56CD1" w:rsidRDefault="00DA00BA">
            <w:pPr>
              <w:pStyle w:val="normal0"/>
              <w:rPr>
                <w:rFonts w:ascii="Muli" w:eastAsia="Muli" w:hAnsi="Muli" w:cs="Muli"/>
                <w:b/>
                <w:color w:val="FF126D"/>
                <w:sz w:val="20"/>
                <w:szCs w:val="20"/>
              </w:rPr>
            </w:pPr>
            <w:r>
              <w:rPr>
                <w:rFonts w:ascii="Muli" w:eastAsia="Muli" w:hAnsi="Muli" w:cs="Muli"/>
                <w:b/>
                <w:color w:val="FF126D"/>
                <w:sz w:val="20"/>
                <w:szCs w:val="20"/>
              </w:rPr>
              <w:t>Biomes Leveled Rea</w:t>
            </w:r>
            <w:r>
              <w:rPr>
                <w:rFonts w:ascii="Muli" w:eastAsia="Muli" w:hAnsi="Muli" w:cs="Muli"/>
                <w:b/>
                <w:color w:val="FF126D"/>
                <w:sz w:val="20"/>
                <w:szCs w:val="20"/>
              </w:rPr>
              <w:t>der (Front Cover)</w:t>
            </w:r>
          </w:p>
        </w:tc>
      </w:tr>
      <w:tr w:rsidR="00C56CD1" w14:paraId="44748509" w14:textId="77777777">
        <w:trPr>
          <w:trHeight w:val="1580"/>
        </w:trPr>
        <w:tc>
          <w:tcPr>
            <w:tcW w:w="8805" w:type="dxa"/>
            <w:tcMar>
              <w:top w:w="99" w:type="dxa"/>
              <w:left w:w="99" w:type="dxa"/>
              <w:bottom w:w="99" w:type="dxa"/>
              <w:right w:w="99" w:type="dxa"/>
            </w:tcMar>
          </w:tcPr>
          <w:p w14:paraId="661BC065" w14:textId="77777777" w:rsidR="00C56CD1" w:rsidRDefault="00DA00BA">
            <w:pPr>
              <w:pStyle w:val="normal0"/>
              <w:numPr>
                <w:ilvl w:val="0"/>
                <w:numId w:val="23"/>
              </w:numPr>
              <w:contextualSpacing/>
              <w:rPr>
                <w:rFonts w:ascii="Muli" w:eastAsia="Muli" w:hAnsi="Muli" w:cs="Muli"/>
                <w:sz w:val="20"/>
                <w:szCs w:val="20"/>
              </w:rPr>
            </w:pPr>
            <w:r>
              <w:rPr>
                <w:rFonts w:ascii="Muli" w:eastAsia="Muli" w:hAnsi="Muli" w:cs="Muli"/>
                <w:sz w:val="20"/>
                <w:szCs w:val="20"/>
              </w:rPr>
              <w:t xml:space="preserve">Short, high quality films that will engage and support learners with diverse learning needs are frequently provided to spark interest, summarize key concepts, and make the ideas relevant to this age group. For example, </w:t>
            </w:r>
            <w:r>
              <w:rPr>
                <w:rFonts w:ascii="Muli" w:eastAsia="Muli" w:hAnsi="Muli" w:cs="Muli"/>
                <w:b/>
                <w:color w:val="FF126D"/>
                <w:sz w:val="20"/>
                <w:szCs w:val="20"/>
              </w:rPr>
              <w:t>Courtship Rituals:</w:t>
            </w:r>
            <w:r>
              <w:rPr>
                <w:rFonts w:ascii="Muli" w:eastAsia="Muli" w:hAnsi="Muli" w:cs="Muli"/>
                <w:b/>
                <w:color w:val="FF126D"/>
                <w:sz w:val="20"/>
                <w:szCs w:val="20"/>
              </w:rPr>
              <w:t xml:space="preserve"> Puffer Fish</w:t>
            </w:r>
            <w:r>
              <w:rPr>
                <w:rFonts w:ascii="Muli" w:eastAsia="Muli" w:hAnsi="Muli" w:cs="Muli"/>
                <w:sz w:val="20"/>
                <w:szCs w:val="20"/>
              </w:rPr>
              <w:t xml:space="preserve"> (DQ1L3), Whitebark Pine Tree (DQ1L9), </w:t>
            </w:r>
            <w:r>
              <w:rPr>
                <w:rFonts w:ascii="Muli" w:eastAsia="Muli" w:hAnsi="Muli" w:cs="Muli"/>
                <w:b/>
                <w:color w:val="FF126D"/>
                <w:sz w:val="20"/>
                <w:szCs w:val="20"/>
              </w:rPr>
              <w:t xml:space="preserve">Asexual Reproduction in Animals </w:t>
            </w:r>
            <w:r>
              <w:rPr>
                <w:rFonts w:ascii="Muli" w:eastAsia="Muli" w:hAnsi="Muli" w:cs="Muli"/>
                <w:sz w:val="20"/>
                <w:szCs w:val="20"/>
              </w:rPr>
              <w:t>(DQ2L9), and Saving Sea Turtles (DQ4L3).</w:t>
            </w:r>
          </w:p>
        </w:tc>
        <w:tc>
          <w:tcPr>
            <w:tcW w:w="5130" w:type="dxa"/>
            <w:tcMar>
              <w:top w:w="99" w:type="dxa"/>
              <w:left w:w="99" w:type="dxa"/>
              <w:bottom w:w="99" w:type="dxa"/>
              <w:right w:w="99" w:type="dxa"/>
            </w:tcMar>
          </w:tcPr>
          <w:p w14:paraId="51B0D016" w14:textId="77777777" w:rsidR="00C56CD1" w:rsidRDefault="00DA00BA">
            <w:pPr>
              <w:pStyle w:val="normal0"/>
              <w:ind w:right="383"/>
              <w:rPr>
                <w:rFonts w:ascii="Muli" w:eastAsia="Muli" w:hAnsi="Muli" w:cs="Muli"/>
                <w:b/>
                <w:color w:val="FF126D"/>
                <w:sz w:val="20"/>
                <w:szCs w:val="20"/>
              </w:rPr>
            </w:pPr>
            <w:r>
              <w:rPr>
                <w:rFonts w:ascii="Muli" w:eastAsia="Muli" w:hAnsi="Muli" w:cs="Muli"/>
                <w:noProof/>
                <w:sz w:val="20"/>
                <w:szCs w:val="20"/>
              </w:rPr>
              <w:drawing>
                <wp:inline distT="114300" distB="114300" distL="114300" distR="114300" wp14:anchorId="7E7FCA1A" wp14:editId="07793A64">
                  <wp:extent cx="2338388" cy="1867085"/>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2338388" cy="1867085"/>
                          </a:xfrm>
                          <a:prstGeom prst="rect">
                            <a:avLst/>
                          </a:prstGeom>
                          <a:ln/>
                        </pic:spPr>
                      </pic:pic>
                    </a:graphicData>
                  </a:graphic>
                </wp:inline>
              </w:drawing>
            </w:r>
            <w:r>
              <w:rPr>
                <w:rFonts w:ascii="Muli" w:eastAsia="Muli" w:hAnsi="Muli" w:cs="Muli"/>
                <w:b/>
                <w:color w:val="FF126D"/>
                <w:sz w:val="20"/>
                <w:szCs w:val="20"/>
              </w:rPr>
              <w:t>Courtship Rituals: Puffer Fish</w:t>
            </w:r>
          </w:p>
          <w:p w14:paraId="072BBD54" w14:textId="77777777" w:rsidR="00C56CD1" w:rsidRDefault="00C56CD1">
            <w:pPr>
              <w:pStyle w:val="normal0"/>
              <w:ind w:right="383"/>
              <w:rPr>
                <w:rFonts w:ascii="Muli" w:eastAsia="Muli" w:hAnsi="Muli" w:cs="Muli"/>
                <w:b/>
                <w:color w:val="FF126D"/>
                <w:sz w:val="20"/>
                <w:szCs w:val="20"/>
              </w:rPr>
            </w:pPr>
          </w:p>
          <w:p w14:paraId="340AF11F" w14:textId="77777777" w:rsidR="00C56CD1" w:rsidRDefault="00DA00BA">
            <w:pPr>
              <w:pStyle w:val="normal0"/>
              <w:ind w:right="383"/>
              <w:rPr>
                <w:rFonts w:ascii="Muli" w:eastAsia="Muli" w:hAnsi="Muli" w:cs="Muli"/>
                <w:sz w:val="20"/>
                <w:szCs w:val="20"/>
              </w:rPr>
            </w:pPr>
            <w:r>
              <w:rPr>
                <w:rFonts w:ascii="Muli" w:eastAsia="Muli" w:hAnsi="Muli" w:cs="Muli"/>
                <w:noProof/>
                <w:sz w:val="20"/>
                <w:szCs w:val="20"/>
              </w:rPr>
              <w:lastRenderedPageBreak/>
              <w:drawing>
                <wp:inline distT="114300" distB="114300" distL="114300" distR="114300" wp14:anchorId="50C1B404" wp14:editId="3223E54E">
                  <wp:extent cx="2347913" cy="2031847"/>
                  <wp:effectExtent l="0" t="0" r="0" b="0"/>
                  <wp:docPr id="5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4"/>
                          <a:srcRect/>
                          <a:stretch>
                            <a:fillRect/>
                          </a:stretch>
                        </pic:blipFill>
                        <pic:spPr>
                          <a:xfrm>
                            <a:off x="0" y="0"/>
                            <a:ext cx="2347913" cy="2031847"/>
                          </a:xfrm>
                          <a:prstGeom prst="rect">
                            <a:avLst/>
                          </a:prstGeom>
                          <a:ln/>
                        </pic:spPr>
                      </pic:pic>
                    </a:graphicData>
                  </a:graphic>
                </wp:inline>
              </w:drawing>
            </w:r>
          </w:p>
          <w:p w14:paraId="22D0EF2E" w14:textId="77777777" w:rsidR="00C56CD1" w:rsidRDefault="00DA00BA">
            <w:pPr>
              <w:pStyle w:val="normal0"/>
              <w:rPr>
                <w:rFonts w:ascii="Muli" w:eastAsia="Muli" w:hAnsi="Muli" w:cs="Muli"/>
                <w:b/>
                <w:color w:val="FF126D"/>
                <w:sz w:val="20"/>
                <w:szCs w:val="20"/>
              </w:rPr>
            </w:pPr>
            <w:r>
              <w:rPr>
                <w:rFonts w:ascii="Muli" w:eastAsia="Muli" w:hAnsi="Muli" w:cs="Muli"/>
                <w:b/>
                <w:color w:val="FF126D"/>
                <w:sz w:val="20"/>
                <w:szCs w:val="20"/>
              </w:rPr>
              <w:t>Asexual Reproduction in Animals</w:t>
            </w:r>
          </w:p>
        </w:tc>
      </w:tr>
    </w:tbl>
    <w:p w14:paraId="4520957E" w14:textId="77777777" w:rsidR="00C56CD1" w:rsidRDefault="00C56CD1">
      <w:pPr>
        <w:pStyle w:val="normal0"/>
        <w:spacing w:before="3"/>
        <w:rPr>
          <w:rFonts w:ascii="Muli" w:eastAsia="Muli" w:hAnsi="Muli" w:cs="Muli"/>
          <w:sz w:val="20"/>
          <w:szCs w:val="20"/>
        </w:rPr>
      </w:pPr>
    </w:p>
    <w:tbl>
      <w:tblPr>
        <w:tblStyle w:val="a5"/>
        <w:tblW w:w="17350" w:type="dxa"/>
        <w:tblInd w:w="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7350"/>
      </w:tblGrid>
      <w:tr w:rsidR="00C56CD1" w14:paraId="2A98E97E" w14:textId="77777777">
        <w:trPr>
          <w:trHeight w:val="760"/>
        </w:trPr>
        <w:tc>
          <w:tcPr>
            <w:tcW w:w="13950" w:type="dxa"/>
            <w:shd w:val="clear" w:color="auto" w:fill="2F5496"/>
          </w:tcPr>
          <w:p w14:paraId="0E13D9D8" w14:textId="77777777" w:rsidR="00C56CD1" w:rsidRDefault="00DA00BA">
            <w:pPr>
              <w:pStyle w:val="normal0"/>
              <w:spacing w:before="222"/>
              <w:ind w:left="90"/>
              <w:rPr>
                <w:rFonts w:ascii="Muli" w:eastAsia="Muli" w:hAnsi="Muli" w:cs="Muli"/>
                <w:b/>
                <w:color w:val="FFFFFF"/>
                <w:sz w:val="24"/>
                <w:szCs w:val="24"/>
              </w:rPr>
            </w:pPr>
            <w:r>
              <w:rPr>
                <w:rFonts w:ascii="Muli" w:eastAsia="Muli" w:hAnsi="Muli" w:cs="Muli"/>
                <w:b/>
                <w:color w:val="FFFFFF"/>
                <w:sz w:val="24"/>
                <w:szCs w:val="24"/>
              </w:rPr>
              <w:t>Designed for the NGSS: Foundations Teacher Support Evidence Chart</w:t>
            </w:r>
          </w:p>
        </w:tc>
      </w:tr>
    </w:tbl>
    <w:p w14:paraId="47425F30" w14:textId="77777777" w:rsidR="00C56CD1" w:rsidRDefault="00C56CD1">
      <w:pPr>
        <w:pStyle w:val="normal0"/>
        <w:pBdr>
          <w:top w:val="nil"/>
          <w:left w:val="nil"/>
          <w:bottom w:val="nil"/>
          <w:right w:val="nil"/>
          <w:between w:val="nil"/>
        </w:pBdr>
        <w:spacing w:before="4"/>
        <w:ind w:left="90"/>
        <w:rPr>
          <w:rFonts w:ascii="Muli" w:eastAsia="Muli" w:hAnsi="Muli" w:cs="Muli"/>
          <w:color w:val="000000"/>
        </w:rPr>
      </w:pPr>
    </w:p>
    <w:tbl>
      <w:tblPr>
        <w:tblStyle w:val="a6"/>
        <w:tblW w:w="13871"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5"/>
        <w:gridCol w:w="1106"/>
        <w:gridCol w:w="1224"/>
        <w:gridCol w:w="1116"/>
      </w:tblGrid>
      <w:tr w:rsidR="00C56CD1" w14:paraId="3CE1BB21" w14:textId="77777777">
        <w:trPr>
          <w:trHeight w:val="320"/>
        </w:trPr>
        <w:tc>
          <w:tcPr>
            <w:tcW w:w="10425" w:type="dxa"/>
            <w:shd w:val="clear" w:color="auto" w:fill="FF126D"/>
            <w:tcMar>
              <w:top w:w="99" w:type="dxa"/>
              <w:left w:w="99" w:type="dxa"/>
              <w:bottom w:w="99" w:type="dxa"/>
              <w:right w:w="99" w:type="dxa"/>
            </w:tcMar>
          </w:tcPr>
          <w:p w14:paraId="584A9B2A" w14:textId="77777777" w:rsidR="00C56CD1" w:rsidRDefault="00DA00BA">
            <w:pPr>
              <w:pStyle w:val="normal0"/>
              <w:spacing w:before="35"/>
              <w:ind w:left="90"/>
              <w:rPr>
                <w:rFonts w:ascii="Muli" w:eastAsia="Muli" w:hAnsi="Muli" w:cs="Muli"/>
                <w:sz w:val="20"/>
                <w:szCs w:val="20"/>
              </w:rPr>
            </w:pPr>
            <w:r>
              <w:rPr>
                <w:rFonts w:ascii="Muli" w:eastAsia="Muli" w:hAnsi="Muli" w:cs="Muli"/>
                <w:color w:val="FFFFFF"/>
                <w:sz w:val="20"/>
                <w:szCs w:val="20"/>
              </w:rPr>
              <w:t>Teacher materials…</w:t>
            </w:r>
          </w:p>
        </w:tc>
        <w:tc>
          <w:tcPr>
            <w:tcW w:w="1106" w:type="dxa"/>
            <w:shd w:val="clear" w:color="auto" w:fill="FF126D"/>
            <w:tcMar>
              <w:top w:w="99" w:type="dxa"/>
              <w:left w:w="99" w:type="dxa"/>
              <w:bottom w:w="99" w:type="dxa"/>
              <w:right w:w="99" w:type="dxa"/>
            </w:tcMar>
          </w:tcPr>
          <w:p w14:paraId="412F7539" w14:textId="77777777" w:rsidR="00C56CD1" w:rsidRDefault="00DA00BA">
            <w:pPr>
              <w:pStyle w:val="normal0"/>
              <w:spacing w:before="35"/>
              <w:ind w:left="90"/>
              <w:rPr>
                <w:rFonts w:ascii="Muli" w:eastAsia="Muli" w:hAnsi="Muli" w:cs="Muli"/>
                <w:sz w:val="20"/>
                <w:szCs w:val="20"/>
              </w:rPr>
            </w:pPr>
            <w:r>
              <w:rPr>
                <w:rFonts w:ascii="Muli" w:eastAsia="Muli" w:hAnsi="Muli" w:cs="Muli"/>
                <w:color w:val="FFFFFF"/>
                <w:sz w:val="20"/>
                <w:szCs w:val="20"/>
              </w:rPr>
              <w:t>Strong</w:t>
            </w:r>
          </w:p>
        </w:tc>
        <w:tc>
          <w:tcPr>
            <w:tcW w:w="1224" w:type="dxa"/>
            <w:shd w:val="clear" w:color="auto" w:fill="FF126D"/>
            <w:tcMar>
              <w:top w:w="99" w:type="dxa"/>
              <w:left w:w="99" w:type="dxa"/>
              <w:bottom w:w="99" w:type="dxa"/>
              <w:right w:w="99" w:type="dxa"/>
            </w:tcMar>
          </w:tcPr>
          <w:p w14:paraId="54B0D2D0" w14:textId="77777777" w:rsidR="00C56CD1" w:rsidRDefault="00DA00BA">
            <w:pPr>
              <w:pStyle w:val="normal0"/>
              <w:spacing w:before="35"/>
              <w:ind w:left="90"/>
              <w:rPr>
                <w:rFonts w:ascii="Muli" w:eastAsia="Muli" w:hAnsi="Muli" w:cs="Muli"/>
                <w:sz w:val="20"/>
                <w:szCs w:val="20"/>
              </w:rPr>
            </w:pPr>
            <w:r>
              <w:rPr>
                <w:rFonts w:ascii="Muli" w:eastAsia="Muli" w:hAnsi="Muli" w:cs="Muli"/>
                <w:color w:val="FFFFFF"/>
                <w:sz w:val="20"/>
                <w:szCs w:val="20"/>
              </w:rPr>
              <w:t>Adequate</w:t>
            </w:r>
          </w:p>
        </w:tc>
        <w:tc>
          <w:tcPr>
            <w:tcW w:w="1116" w:type="dxa"/>
            <w:shd w:val="clear" w:color="auto" w:fill="FF126D"/>
            <w:tcMar>
              <w:top w:w="99" w:type="dxa"/>
              <w:left w:w="99" w:type="dxa"/>
              <w:bottom w:w="99" w:type="dxa"/>
              <w:right w:w="99" w:type="dxa"/>
            </w:tcMar>
          </w:tcPr>
          <w:p w14:paraId="1E945DDD" w14:textId="77777777" w:rsidR="00C56CD1" w:rsidRDefault="00DA00BA">
            <w:pPr>
              <w:pStyle w:val="normal0"/>
              <w:spacing w:before="35"/>
              <w:ind w:left="90"/>
              <w:rPr>
                <w:rFonts w:ascii="Muli" w:eastAsia="Muli" w:hAnsi="Muli" w:cs="Muli"/>
                <w:sz w:val="20"/>
                <w:szCs w:val="20"/>
              </w:rPr>
            </w:pPr>
            <w:r>
              <w:rPr>
                <w:rFonts w:ascii="Muli" w:eastAsia="Muli" w:hAnsi="Muli" w:cs="Muli"/>
                <w:color w:val="FFFFFF"/>
                <w:sz w:val="20"/>
                <w:szCs w:val="20"/>
              </w:rPr>
              <w:t>Weak</w:t>
            </w:r>
          </w:p>
        </w:tc>
      </w:tr>
      <w:tr w:rsidR="00C56CD1" w14:paraId="47FA571D" w14:textId="77777777">
        <w:trPr>
          <w:trHeight w:val="780"/>
        </w:trPr>
        <w:tc>
          <w:tcPr>
            <w:tcW w:w="10425" w:type="dxa"/>
            <w:tcMar>
              <w:top w:w="99" w:type="dxa"/>
              <w:left w:w="99" w:type="dxa"/>
              <w:bottom w:w="99" w:type="dxa"/>
              <w:right w:w="99" w:type="dxa"/>
            </w:tcMar>
          </w:tcPr>
          <w:p w14:paraId="3AD4C4A5" w14:textId="77777777" w:rsidR="00C56CD1" w:rsidRDefault="00DA00BA">
            <w:pPr>
              <w:pStyle w:val="normal0"/>
              <w:pBdr>
                <w:top w:val="nil"/>
                <w:left w:val="nil"/>
                <w:bottom w:val="nil"/>
                <w:right w:val="nil"/>
                <w:between w:val="nil"/>
              </w:pBdr>
              <w:spacing w:before="1"/>
              <w:ind w:left="90" w:right="102"/>
              <w:rPr>
                <w:rFonts w:ascii="Muli" w:eastAsia="Muli" w:hAnsi="Muli" w:cs="Muli"/>
                <w:color w:val="000000"/>
                <w:sz w:val="20"/>
                <w:szCs w:val="20"/>
              </w:rPr>
            </w:pPr>
            <w:r>
              <w:rPr>
                <w:rFonts w:ascii="Muli" w:eastAsia="Muli" w:hAnsi="Muli" w:cs="Muli"/>
                <w:b/>
                <w:color w:val="000000"/>
                <w:sz w:val="20"/>
                <w:szCs w:val="20"/>
              </w:rPr>
              <w:t xml:space="preserve">SP1. Three-dimensional Performances. </w:t>
            </w:r>
            <w:r>
              <w:rPr>
                <w:rFonts w:ascii="Muli" w:eastAsia="Muli" w:hAnsi="Muli" w:cs="Muli"/>
                <w:color w:val="000000"/>
                <w:sz w:val="20"/>
                <w:szCs w:val="20"/>
              </w:rPr>
              <w:t>Provide support with a range of sample student responses and/or rubrics for interpreting evidence of student learning across the three dimensions, specific to the element of each dimension, and related to the phenomenon/problem that provides context for th</w:t>
            </w:r>
            <w:r>
              <w:rPr>
                <w:rFonts w:ascii="Muli" w:eastAsia="Muli" w:hAnsi="Muli" w:cs="Muli"/>
                <w:color w:val="000000"/>
                <w:sz w:val="20"/>
                <w:szCs w:val="20"/>
              </w:rPr>
              <w:t>e student performance.</w:t>
            </w:r>
          </w:p>
        </w:tc>
        <w:tc>
          <w:tcPr>
            <w:tcW w:w="1106" w:type="dxa"/>
          </w:tcPr>
          <w:p w14:paraId="0F88B7C0" w14:textId="77777777" w:rsidR="00C56CD1" w:rsidRDefault="00DA00BA">
            <w:pPr>
              <w:pStyle w:val="normal0"/>
              <w:ind w:left="90"/>
              <w:jc w:val="center"/>
              <w:rPr>
                <w:rFonts w:ascii="Muli" w:eastAsia="Muli" w:hAnsi="Muli" w:cs="Muli"/>
                <w:sz w:val="56"/>
                <w:szCs w:val="56"/>
              </w:rPr>
            </w:pPr>
            <w:r>
              <w:rPr>
                <w:rFonts w:ascii="Arial Unicode MS" w:eastAsia="Arial Unicode MS" w:hAnsi="Arial Unicode MS" w:cs="Arial Unicode MS"/>
                <w:color w:val="FF126D"/>
                <w:sz w:val="56"/>
                <w:szCs w:val="56"/>
              </w:rPr>
              <w:t>✓</w:t>
            </w:r>
          </w:p>
        </w:tc>
        <w:tc>
          <w:tcPr>
            <w:tcW w:w="1224" w:type="dxa"/>
            <w:tcMar>
              <w:top w:w="99" w:type="dxa"/>
              <w:left w:w="99" w:type="dxa"/>
              <w:bottom w:w="99" w:type="dxa"/>
              <w:right w:w="99" w:type="dxa"/>
            </w:tcMar>
          </w:tcPr>
          <w:p w14:paraId="0AFDF102" w14:textId="77777777" w:rsidR="00C56CD1" w:rsidRDefault="00C56CD1">
            <w:pPr>
              <w:pStyle w:val="normal0"/>
              <w:pBdr>
                <w:top w:val="nil"/>
                <w:left w:val="nil"/>
                <w:bottom w:val="nil"/>
                <w:right w:val="nil"/>
                <w:between w:val="nil"/>
              </w:pBdr>
              <w:ind w:left="90"/>
              <w:rPr>
                <w:rFonts w:ascii="Muli" w:eastAsia="Muli" w:hAnsi="Muli" w:cs="Muli"/>
                <w:color w:val="000000"/>
              </w:rPr>
            </w:pPr>
          </w:p>
        </w:tc>
        <w:tc>
          <w:tcPr>
            <w:tcW w:w="1116" w:type="dxa"/>
            <w:tcMar>
              <w:top w:w="99" w:type="dxa"/>
              <w:left w:w="99" w:type="dxa"/>
              <w:bottom w:w="99" w:type="dxa"/>
              <w:right w:w="99" w:type="dxa"/>
            </w:tcMar>
          </w:tcPr>
          <w:p w14:paraId="4B138C4E" w14:textId="77777777" w:rsidR="00C56CD1" w:rsidRDefault="00C56CD1">
            <w:pPr>
              <w:pStyle w:val="normal0"/>
              <w:pBdr>
                <w:top w:val="nil"/>
                <w:left w:val="nil"/>
                <w:bottom w:val="nil"/>
                <w:right w:val="nil"/>
                <w:between w:val="nil"/>
              </w:pBdr>
              <w:ind w:left="90"/>
              <w:rPr>
                <w:rFonts w:ascii="Muli" w:eastAsia="Muli" w:hAnsi="Muli" w:cs="Muli"/>
                <w:color w:val="000000"/>
              </w:rPr>
            </w:pPr>
          </w:p>
        </w:tc>
      </w:tr>
      <w:tr w:rsidR="00C56CD1" w14:paraId="6A811078" w14:textId="77777777">
        <w:trPr>
          <w:trHeight w:val="780"/>
        </w:trPr>
        <w:tc>
          <w:tcPr>
            <w:tcW w:w="10425" w:type="dxa"/>
            <w:tcMar>
              <w:top w:w="99" w:type="dxa"/>
              <w:left w:w="99" w:type="dxa"/>
              <w:bottom w:w="99" w:type="dxa"/>
              <w:right w:w="99" w:type="dxa"/>
            </w:tcMar>
          </w:tcPr>
          <w:p w14:paraId="69ECD803" w14:textId="77777777" w:rsidR="00C56CD1" w:rsidRDefault="00DA00BA">
            <w:pPr>
              <w:pStyle w:val="normal0"/>
              <w:pBdr>
                <w:top w:val="nil"/>
                <w:left w:val="nil"/>
                <w:bottom w:val="nil"/>
                <w:right w:val="nil"/>
                <w:between w:val="nil"/>
              </w:pBdr>
              <w:spacing w:before="1"/>
              <w:ind w:left="90" w:right="84"/>
              <w:rPr>
                <w:rFonts w:ascii="Muli" w:eastAsia="Muli" w:hAnsi="Muli" w:cs="Muli"/>
                <w:color w:val="000000"/>
                <w:sz w:val="20"/>
                <w:szCs w:val="20"/>
              </w:rPr>
            </w:pPr>
            <w:r>
              <w:rPr>
                <w:rFonts w:ascii="Muli" w:eastAsia="Muli" w:hAnsi="Muli" w:cs="Muli"/>
                <w:b/>
                <w:color w:val="000000"/>
                <w:sz w:val="20"/>
                <w:szCs w:val="20"/>
              </w:rPr>
              <w:t xml:space="preserve">SP2. Variety of Measure. </w:t>
            </w:r>
            <w:r>
              <w:rPr>
                <w:rFonts w:ascii="Muli" w:eastAsia="Muli" w:hAnsi="Muli" w:cs="Muli"/>
                <w:color w:val="000000"/>
                <w:sz w:val="20"/>
                <w:szCs w:val="20"/>
              </w:rPr>
              <w:t>Provide guidance and scoring tools for using a variety of measures matched to the targeted learning goals to help students monitor their progress toward learning goals and reflect on what they have learned, how they learn it, and how to use metacognition p</w:t>
            </w:r>
            <w:r>
              <w:rPr>
                <w:rFonts w:ascii="Muli" w:eastAsia="Muli" w:hAnsi="Muli" w:cs="Muli"/>
                <w:color w:val="000000"/>
                <w:sz w:val="20"/>
                <w:szCs w:val="20"/>
              </w:rPr>
              <w:t>roductively.</w:t>
            </w:r>
          </w:p>
        </w:tc>
        <w:tc>
          <w:tcPr>
            <w:tcW w:w="1106" w:type="dxa"/>
          </w:tcPr>
          <w:p w14:paraId="3E27DB2F" w14:textId="77777777" w:rsidR="00C56CD1" w:rsidRDefault="00DA00BA">
            <w:pPr>
              <w:pStyle w:val="normal0"/>
              <w:ind w:left="90"/>
              <w:jc w:val="center"/>
              <w:rPr>
                <w:rFonts w:ascii="Muli" w:eastAsia="Muli" w:hAnsi="Muli" w:cs="Muli"/>
                <w:sz w:val="56"/>
                <w:szCs w:val="56"/>
              </w:rPr>
            </w:pPr>
            <w:r>
              <w:rPr>
                <w:rFonts w:ascii="Arial Unicode MS" w:eastAsia="Arial Unicode MS" w:hAnsi="Arial Unicode MS" w:cs="Arial Unicode MS"/>
                <w:color w:val="FF126D"/>
                <w:sz w:val="56"/>
                <w:szCs w:val="56"/>
              </w:rPr>
              <w:t>✓</w:t>
            </w:r>
          </w:p>
        </w:tc>
        <w:tc>
          <w:tcPr>
            <w:tcW w:w="1224" w:type="dxa"/>
            <w:tcMar>
              <w:top w:w="99" w:type="dxa"/>
              <w:left w:w="99" w:type="dxa"/>
              <w:bottom w:w="99" w:type="dxa"/>
              <w:right w:w="99" w:type="dxa"/>
            </w:tcMar>
          </w:tcPr>
          <w:p w14:paraId="1A1069BA" w14:textId="77777777" w:rsidR="00C56CD1" w:rsidRDefault="00C56CD1">
            <w:pPr>
              <w:pStyle w:val="normal0"/>
              <w:pBdr>
                <w:top w:val="nil"/>
                <w:left w:val="nil"/>
                <w:bottom w:val="nil"/>
                <w:right w:val="nil"/>
                <w:between w:val="nil"/>
              </w:pBdr>
              <w:ind w:left="90"/>
              <w:rPr>
                <w:rFonts w:ascii="Muli" w:eastAsia="Muli" w:hAnsi="Muli" w:cs="Muli"/>
                <w:color w:val="000000"/>
              </w:rPr>
            </w:pPr>
          </w:p>
        </w:tc>
        <w:tc>
          <w:tcPr>
            <w:tcW w:w="1116" w:type="dxa"/>
            <w:tcMar>
              <w:top w:w="99" w:type="dxa"/>
              <w:left w:w="99" w:type="dxa"/>
              <w:bottom w:w="99" w:type="dxa"/>
              <w:right w:w="99" w:type="dxa"/>
            </w:tcMar>
          </w:tcPr>
          <w:p w14:paraId="02B4BB46" w14:textId="77777777" w:rsidR="00C56CD1" w:rsidRDefault="00C56CD1">
            <w:pPr>
              <w:pStyle w:val="normal0"/>
              <w:pBdr>
                <w:top w:val="nil"/>
                <w:left w:val="nil"/>
                <w:bottom w:val="nil"/>
                <w:right w:val="nil"/>
                <w:between w:val="nil"/>
              </w:pBdr>
              <w:ind w:left="90"/>
              <w:rPr>
                <w:rFonts w:ascii="Muli" w:eastAsia="Muli" w:hAnsi="Muli" w:cs="Muli"/>
                <w:color w:val="000000"/>
              </w:rPr>
            </w:pPr>
          </w:p>
        </w:tc>
      </w:tr>
      <w:tr w:rsidR="00C56CD1" w14:paraId="70CC0A16" w14:textId="77777777">
        <w:trPr>
          <w:trHeight w:val="980"/>
        </w:trPr>
        <w:tc>
          <w:tcPr>
            <w:tcW w:w="10425" w:type="dxa"/>
            <w:tcMar>
              <w:top w:w="99" w:type="dxa"/>
              <w:left w:w="99" w:type="dxa"/>
              <w:bottom w:w="99" w:type="dxa"/>
              <w:right w:w="99" w:type="dxa"/>
            </w:tcMar>
          </w:tcPr>
          <w:p w14:paraId="7461B398" w14:textId="77777777" w:rsidR="00C56CD1" w:rsidRDefault="00DA00BA">
            <w:pPr>
              <w:pStyle w:val="normal0"/>
              <w:pBdr>
                <w:top w:val="nil"/>
                <w:left w:val="nil"/>
                <w:bottom w:val="nil"/>
                <w:right w:val="nil"/>
                <w:between w:val="nil"/>
              </w:pBdr>
              <w:spacing w:before="1"/>
              <w:ind w:left="90" w:right="353"/>
              <w:rPr>
                <w:rFonts w:ascii="Muli" w:eastAsia="Muli" w:hAnsi="Muli" w:cs="Muli"/>
                <w:color w:val="000000"/>
                <w:sz w:val="20"/>
                <w:szCs w:val="20"/>
              </w:rPr>
            </w:pPr>
            <w:r>
              <w:rPr>
                <w:rFonts w:ascii="Muli" w:eastAsia="Muli" w:hAnsi="Muli" w:cs="Muli"/>
                <w:b/>
                <w:color w:val="000000"/>
                <w:sz w:val="20"/>
                <w:szCs w:val="20"/>
              </w:rPr>
              <w:t xml:space="preserve">SP3. Student Progress Over Time. </w:t>
            </w:r>
            <w:r>
              <w:rPr>
                <w:rFonts w:ascii="Muli" w:eastAsia="Muli" w:hAnsi="Muli" w:cs="Muli"/>
                <w:color w:val="000000"/>
                <w:sz w:val="20"/>
                <w:szCs w:val="20"/>
              </w:rPr>
              <w:t>Provide guidance for using formative and summative assessments to monitor student progress over time. Examples include support for: capturing student growth; interpreting results; adjusting instruction and planning for future instruction; providing feedbac</w:t>
            </w:r>
            <w:r>
              <w:rPr>
                <w:rFonts w:ascii="Muli" w:eastAsia="Muli" w:hAnsi="Muli" w:cs="Muli"/>
                <w:color w:val="000000"/>
                <w:sz w:val="20"/>
                <w:szCs w:val="20"/>
              </w:rPr>
              <w:t>k to students; prompting students to consider what and how they’ve learned.</w:t>
            </w:r>
          </w:p>
        </w:tc>
        <w:tc>
          <w:tcPr>
            <w:tcW w:w="1106" w:type="dxa"/>
          </w:tcPr>
          <w:p w14:paraId="6333C38E" w14:textId="77777777" w:rsidR="00C56CD1" w:rsidRDefault="00DA00BA">
            <w:pPr>
              <w:pStyle w:val="normal0"/>
              <w:ind w:left="90"/>
              <w:jc w:val="center"/>
              <w:rPr>
                <w:rFonts w:ascii="Muli" w:eastAsia="Muli" w:hAnsi="Muli" w:cs="Muli"/>
                <w:sz w:val="56"/>
                <w:szCs w:val="56"/>
              </w:rPr>
            </w:pPr>
            <w:r>
              <w:rPr>
                <w:rFonts w:ascii="Arial Unicode MS" w:eastAsia="Arial Unicode MS" w:hAnsi="Arial Unicode MS" w:cs="Arial Unicode MS"/>
                <w:color w:val="FF126D"/>
                <w:sz w:val="56"/>
                <w:szCs w:val="56"/>
              </w:rPr>
              <w:t>✓</w:t>
            </w:r>
          </w:p>
        </w:tc>
        <w:tc>
          <w:tcPr>
            <w:tcW w:w="1224" w:type="dxa"/>
            <w:tcMar>
              <w:top w:w="99" w:type="dxa"/>
              <w:left w:w="99" w:type="dxa"/>
              <w:bottom w:w="99" w:type="dxa"/>
              <w:right w:w="99" w:type="dxa"/>
            </w:tcMar>
          </w:tcPr>
          <w:p w14:paraId="53E209CF" w14:textId="77777777" w:rsidR="00C56CD1" w:rsidRDefault="00C56CD1">
            <w:pPr>
              <w:pStyle w:val="normal0"/>
              <w:pBdr>
                <w:top w:val="nil"/>
                <w:left w:val="nil"/>
                <w:bottom w:val="nil"/>
                <w:right w:val="nil"/>
                <w:between w:val="nil"/>
              </w:pBdr>
              <w:ind w:left="90"/>
              <w:rPr>
                <w:rFonts w:ascii="Muli" w:eastAsia="Muli" w:hAnsi="Muli" w:cs="Muli"/>
                <w:color w:val="000000"/>
              </w:rPr>
            </w:pPr>
          </w:p>
        </w:tc>
        <w:tc>
          <w:tcPr>
            <w:tcW w:w="1116" w:type="dxa"/>
            <w:tcMar>
              <w:top w:w="99" w:type="dxa"/>
              <w:left w:w="99" w:type="dxa"/>
              <w:bottom w:w="99" w:type="dxa"/>
              <w:right w:w="99" w:type="dxa"/>
            </w:tcMar>
          </w:tcPr>
          <w:p w14:paraId="219F2145" w14:textId="77777777" w:rsidR="00C56CD1" w:rsidRDefault="00C56CD1">
            <w:pPr>
              <w:pStyle w:val="normal0"/>
              <w:pBdr>
                <w:top w:val="nil"/>
                <w:left w:val="nil"/>
                <w:bottom w:val="nil"/>
                <w:right w:val="nil"/>
                <w:between w:val="nil"/>
              </w:pBdr>
              <w:ind w:left="90"/>
              <w:rPr>
                <w:rFonts w:ascii="Muli" w:eastAsia="Muli" w:hAnsi="Muli" w:cs="Muli"/>
                <w:color w:val="000000"/>
              </w:rPr>
            </w:pPr>
          </w:p>
        </w:tc>
      </w:tr>
      <w:tr w:rsidR="00C56CD1" w14:paraId="28D7E782" w14:textId="77777777">
        <w:trPr>
          <w:trHeight w:val="600"/>
        </w:trPr>
        <w:tc>
          <w:tcPr>
            <w:tcW w:w="10425" w:type="dxa"/>
            <w:tcBorders>
              <w:bottom w:val="single" w:sz="8" w:space="0" w:color="000000"/>
            </w:tcBorders>
            <w:tcMar>
              <w:top w:w="99" w:type="dxa"/>
              <w:left w:w="99" w:type="dxa"/>
              <w:bottom w:w="99" w:type="dxa"/>
              <w:right w:w="99" w:type="dxa"/>
            </w:tcMar>
          </w:tcPr>
          <w:p w14:paraId="5EABECC5" w14:textId="77777777" w:rsidR="00C56CD1" w:rsidRDefault="00DA00BA">
            <w:pPr>
              <w:pStyle w:val="normal0"/>
              <w:pBdr>
                <w:top w:val="nil"/>
                <w:left w:val="nil"/>
                <w:bottom w:val="nil"/>
                <w:right w:val="nil"/>
                <w:between w:val="nil"/>
              </w:pBdr>
              <w:spacing w:before="1"/>
              <w:ind w:left="90" w:right="236"/>
              <w:rPr>
                <w:rFonts w:ascii="Muli" w:eastAsia="Muli" w:hAnsi="Muli" w:cs="Muli"/>
                <w:color w:val="000000"/>
                <w:sz w:val="20"/>
                <w:szCs w:val="20"/>
              </w:rPr>
            </w:pPr>
            <w:r>
              <w:rPr>
                <w:rFonts w:ascii="Muli" w:eastAsia="Muli" w:hAnsi="Muli" w:cs="Muli"/>
                <w:b/>
                <w:color w:val="000000"/>
                <w:sz w:val="20"/>
                <w:szCs w:val="20"/>
              </w:rPr>
              <w:t xml:space="preserve">SP4. Equitable Access. </w:t>
            </w:r>
            <w:r>
              <w:rPr>
                <w:rFonts w:ascii="Muli" w:eastAsia="Muli" w:hAnsi="Muli" w:cs="Muli"/>
                <w:color w:val="000000"/>
                <w:sz w:val="20"/>
                <w:szCs w:val="20"/>
              </w:rPr>
              <w:t>Provide support and strategies for ensuring that assessments are accessible to students from diverse backgrounds and with diverse learning needs.</w:t>
            </w:r>
          </w:p>
        </w:tc>
        <w:tc>
          <w:tcPr>
            <w:tcW w:w="1106" w:type="dxa"/>
          </w:tcPr>
          <w:p w14:paraId="04A7284C" w14:textId="77777777" w:rsidR="00C56CD1" w:rsidRDefault="00DA00BA">
            <w:pPr>
              <w:pStyle w:val="normal0"/>
              <w:ind w:left="90"/>
              <w:jc w:val="center"/>
              <w:rPr>
                <w:rFonts w:ascii="Muli" w:eastAsia="Muli" w:hAnsi="Muli" w:cs="Muli"/>
                <w:sz w:val="56"/>
                <w:szCs w:val="56"/>
              </w:rPr>
            </w:pPr>
            <w:r>
              <w:rPr>
                <w:rFonts w:ascii="Arial Unicode MS" w:eastAsia="Arial Unicode MS" w:hAnsi="Arial Unicode MS" w:cs="Arial Unicode MS"/>
                <w:color w:val="FF126D"/>
                <w:sz w:val="56"/>
                <w:szCs w:val="56"/>
              </w:rPr>
              <w:t>✓</w:t>
            </w:r>
          </w:p>
        </w:tc>
        <w:tc>
          <w:tcPr>
            <w:tcW w:w="1224" w:type="dxa"/>
            <w:tcBorders>
              <w:bottom w:val="single" w:sz="8" w:space="0" w:color="000000"/>
            </w:tcBorders>
            <w:tcMar>
              <w:top w:w="99" w:type="dxa"/>
              <w:left w:w="99" w:type="dxa"/>
              <w:bottom w:w="99" w:type="dxa"/>
              <w:right w:w="99" w:type="dxa"/>
            </w:tcMar>
          </w:tcPr>
          <w:p w14:paraId="1BC1A036" w14:textId="77777777" w:rsidR="00C56CD1" w:rsidRDefault="00C56CD1">
            <w:pPr>
              <w:pStyle w:val="normal0"/>
              <w:pBdr>
                <w:top w:val="nil"/>
                <w:left w:val="nil"/>
                <w:bottom w:val="nil"/>
                <w:right w:val="nil"/>
                <w:between w:val="nil"/>
              </w:pBdr>
              <w:ind w:left="90"/>
              <w:rPr>
                <w:rFonts w:ascii="Muli" w:eastAsia="Muli" w:hAnsi="Muli" w:cs="Muli"/>
                <w:color w:val="000000"/>
              </w:rPr>
            </w:pPr>
          </w:p>
        </w:tc>
        <w:tc>
          <w:tcPr>
            <w:tcW w:w="1116" w:type="dxa"/>
            <w:tcBorders>
              <w:bottom w:val="single" w:sz="8" w:space="0" w:color="000000"/>
            </w:tcBorders>
            <w:tcMar>
              <w:top w:w="99" w:type="dxa"/>
              <w:left w:w="99" w:type="dxa"/>
              <w:bottom w:w="99" w:type="dxa"/>
              <w:right w:w="99" w:type="dxa"/>
            </w:tcMar>
          </w:tcPr>
          <w:p w14:paraId="6E2BFEB9" w14:textId="77777777" w:rsidR="00C56CD1" w:rsidRDefault="00C56CD1">
            <w:pPr>
              <w:pStyle w:val="normal0"/>
              <w:pBdr>
                <w:top w:val="nil"/>
                <w:left w:val="nil"/>
                <w:bottom w:val="nil"/>
                <w:right w:val="nil"/>
                <w:between w:val="nil"/>
              </w:pBdr>
              <w:ind w:left="90"/>
              <w:rPr>
                <w:rFonts w:ascii="Muli" w:eastAsia="Muli" w:hAnsi="Muli" w:cs="Muli"/>
                <w:color w:val="000000"/>
              </w:rPr>
            </w:pPr>
          </w:p>
        </w:tc>
      </w:tr>
    </w:tbl>
    <w:p w14:paraId="7DD93A11" w14:textId="77777777" w:rsidR="00C56CD1" w:rsidRDefault="00C56CD1">
      <w:pPr>
        <w:pStyle w:val="normal0"/>
        <w:ind w:left="90"/>
        <w:rPr>
          <w:rFonts w:ascii="Muli" w:eastAsia="Muli" w:hAnsi="Muli" w:cs="Muli"/>
        </w:rPr>
      </w:pPr>
    </w:p>
    <w:p w14:paraId="1195A832" w14:textId="77777777" w:rsidR="00C56CD1" w:rsidRDefault="00C56CD1">
      <w:pPr>
        <w:pStyle w:val="normal0"/>
        <w:pBdr>
          <w:top w:val="nil"/>
          <w:left w:val="nil"/>
          <w:bottom w:val="nil"/>
          <w:right w:val="nil"/>
          <w:between w:val="nil"/>
        </w:pBdr>
        <w:spacing w:line="276" w:lineRule="auto"/>
        <w:ind w:left="90"/>
        <w:rPr>
          <w:rFonts w:ascii="Muli" w:eastAsia="Muli" w:hAnsi="Muli" w:cs="Muli"/>
          <w:sz w:val="20"/>
          <w:szCs w:val="20"/>
        </w:rPr>
      </w:pPr>
    </w:p>
    <w:tbl>
      <w:tblPr>
        <w:tblStyle w:val="a7"/>
        <w:tblW w:w="13950"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0"/>
        <w:gridCol w:w="4350"/>
      </w:tblGrid>
      <w:tr w:rsidR="00C56CD1" w14:paraId="17A87374" w14:textId="77777777">
        <w:trPr>
          <w:trHeight w:val="300"/>
        </w:trPr>
        <w:tc>
          <w:tcPr>
            <w:tcW w:w="13950" w:type="dxa"/>
            <w:gridSpan w:val="2"/>
            <w:tcBorders>
              <w:top w:val="single" w:sz="8" w:space="0" w:color="000000"/>
            </w:tcBorders>
            <w:shd w:val="clear" w:color="auto" w:fill="FF126D"/>
            <w:tcMar>
              <w:top w:w="99" w:type="dxa"/>
              <w:left w:w="99" w:type="dxa"/>
              <w:bottom w:w="99" w:type="dxa"/>
              <w:right w:w="99" w:type="dxa"/>
            </w:tcMar>
          </w:tcPr>
          <w:p w14:paraId="3562501F" w14:textId="77777777" w:rsidR="00C56CD1" w:rsidRDefault="00DA00BA">
            <w:pPr>
              <w:pStyle w:val="normal0"/>
              <w:spacing w:line="267" w:lineRule="auto"/>
              <w:ind w:left="90"/>
              <w:rPr>
                <w:rFonts w:ascii="Muli" w:eastAsia="Muli" w:hAnsi="Muli" w:cs="Muli"/>
                <w:sz w:val="20"/>
                <w:szCs w:val="20"/>
              </w:rPr>
            </w:pPr>
            <w:r>
              <w:rPr>
                <w:rFonts w:ascii="Muli" w:eastAsia="Muli" w:hAnsi="Muli" w:cs="Muli"/>
                <w:color w:val="FFFFFF"/>
                <w:sz w:val="20"/>
                <w:szCs w:val="20"/>
              </w:rPr>
              <w:t>Strengths related to these Teacher Supports</w:t>
            </w:r>
          </w:p>
        </w:tc>
      </w:tr>
      <w:tr w:rsidR="00C56CD1" w14:paraId="65B2BC49" w14:textId="77777777">
        <w:trPr>
          <w:trHeight w:val="980"/>
        </w:trPr>
        <w:tc>
          <w:tcPr>
            <w:tcW w:w="13950" w:type="dxa"/>
            <w:gridSpan w:val="2"/>
            <w:shd w:val="clear" w:color="auto" w:fill="D9D9D9"/>
            <w:tcMar>
              <w:top w:w="99" w:type="dxa"/>
              <w:left w:w="99" w:type="dxa"/>
              <w:bottom w:w="99" w:type="dxa"/>
              <w:right w:w="99" w:type="dxa"/>
            </w:tcMar>
          </w:tcPr>
          <w:p w14:paraId="3461F9D7" w14:textId="77777777" w:rsidR="00C56CD1" w:rsidRDefault="00DA00BA">
            <w:pPr>
              <w:pStyle w:val="normal0"/>
              <w:ind w:left="90"/>
              <w:rPr>
                <w:rFonts w:ascii="Muli" w:eastAsia="Muli" w:hAnsi="Muli" w:cs="Muli"/>
                <w:sz w:val="20"/>
                <w:szCs w:val="20"/>
              </w:rPr>
            </w:pPr>
            <w:r>
              <w:rPr>
                <w:rFonts w:ascii="Muli" w:eastAsia="Muli" w:hAnsi="Muli" w:cs="Muli"/>
                <w:b/>
                <w:sz w:val="20"/>
                <w:szCs w:val="20"/>
              </w:rPr>
              <w:t>SP1. Three-dimensional Performances.</w:t>
            </w:r>
            <w:r>
              <w:rPr>
                <w:rFonts w:ascii="Muli" w:eastAsia="Muli" w:hAnsi="Muli" w:cs="Muli"/>
                <w:sz w:val="20"/>
                <w:szCs w:val="20"/>
              </w:rPr>
              <w:t xml:space="preserve"> </w:t>
            </w:r>
          </w:p>
          <w:p w14:paraId="2DBA78A2" w14:textId="77777777" w:rsidR="00C56CD1" w:rsidRDefault="00DA00BA">
            <w:pPr>
              <w:pStyle w:val="normal0"/>
              <w:ind w:left="90"/>
              <w:rPr>
                <w:rFonts w:ascii="Muli" w:eastAsia="Muli" w:hAnsi="Muli" w:cs="Muli"/>
                <w:b/>
                <w:sz w:val="20"/>
                <w:szCs w:val="20"/>
              </w:rPr>
            </w:pPr>
            <w:r>
              <w:rPr>
                <w:rFonts w:ascii="Muli" w:eastAsia="Muli" w:hAnsi="Muli" w:cs="Muli"/>
                <w:sz w:val="20"/>
                <w:szCs w:val="20"/>
              </w:rPr>
              <w:t>The module provides strong support with a range of sample student responses and rubrics for interpreting evidence of student learning across the three dimensions. These are specific to the element of each dimension and related to the Module Phenomenon that</w:t>
            </w:r>
            <w:r>
              <w:rPr>
                <w:rFonts w:ascii="Muli" w:eastAsia="Muli" w:hAnsi="Muli" w:cs="Muli"/>
                <w:sz w:val="20"/>
                <w:szCs w:val="20"/>
              </w:rPr>
              <w:t xml:space="preserve"> provides the context for the student performance.</w:t>
            </w:r>
          </w:p>
        </w:tc>
      </w:tr>
      <w:tr w:rsidR="00C56CD1" w14:paraId="172728CB" w14:textId="77777777">
        <w:trPr>
          <w:trHeight w:val="2920"/>
        </w:trPr>
        <w:tc>
          <w:tcPr>
            <w:tcW w:w="13950" w:type="dxa"/>
            <w:gridSpan w:val="2"/>
            <w:tcMar>
              <w:top w:w="99" w:type="dxa"/>
              <w:left w:w="99" w:type="dxa"/>
              <w:bottom w:w="99" w:type="dxa"/>
              <w:right w:w="99" w:type="dxa"/>
            </w:tcMar>
          </w:tcPr>
          <w:p w14:paraId="14EE29C5" w14:textId="77777777" w:rsidR="00C56CD1" w:rsidRDefault="00DA00BA">
            <w:pPr>
              <w:pStyle w:val="normal0"/>
              <w:ind w:left="90" w:right="150"/>
              <w:rPr>
                <w:rFonts w:ascii="Muli" w:eastAsia="Muli" w:hAnsi="Muli" w:cs="Muli"/>
                <w:b/>
                <w:color w:val="FF126D"/>
                <w:sz w:val="20"/>
                <w:szCs w:val="20"/>
              </w:rPr>
            </w:pPr>
            <w:r>
              <w:rPr>
                <w:rFonts w:ascii="Muli" w:eastAsia="Muli" w:hAnsi="Muli" w:cs="Muli"/>
                <w:b/>
                <w:color w:val="FF126D"/>
                <w:sz w:val="20"/>
                <w:szCs w:val="20"/>
              </w:rPr>
              <w:t xml:space="preserve">Evidence </w:t>
            </w:r>
          </w:p>
          <w:p w14:paraId="0FC5179A" w14:textId="77777777" w:rsidR="00C56CD1" w:rsidRDefault="00DA00BA">
            <w:pPr>
              <w:pStyle w:val="normal0"/>
              <w:numPr>
                <w:ilvl w:val="0"/>
                <w:numId w:val="8"/>
              </w:numPr>
              <w:ind w:right="150"/>
              <w:contextualSpacing/>
              <w:rPr>
                <w:rFonts w:ascii="Muli" w:eastAsia="Muli" w:hAnsi="Muli" w:cs="Muli"/>
                <w:sz w:val="20"/>
                <w:szCs w:val="20"/>
              </w:rPr>
            </w:pPr>
            <w:r>
              <w:rPr>
                <w:rFonts w:ascii="Muli" w:eastAsia="Muli" w:hAnsi="Muli" w:cs="Muli"/>
                <w:sz w:val="20"/>
                <w:szCs w:val="20"/>
              </w:rPr>
              <w:t xml:space="preserve">Rubrics are provided for the Performance Tasks and the Benchmark Assessment. The rubrics provide sample answers in the form of “Look Fors” that support teachers to interpret evidence of student attainment of the four different levels—Emerging, Developing, </w:t>
            </w:r>
            <w:r>
              <w:rPr>
                <w:rFonts w:ascii="Muli" w:eastAsia="Muli" w:hAnsi="Muli" w:cs="Muli"/>
                <w:sz w:val="20"/>
                <w:szCs w:val="20"/>
              </w:rPr>
              <w:t>Proficient, and Advanced. The rubrics are specific to certain Performance Expectations with the assessed dimensions highlighted. The assessment tasks are well connected to the problems, phenomena, and dimensions being assessed. For example, in the Benchmar</w:t>
            </w:r>
            <w:r>
              <w:rPr>
                <w:rFonts w:ascii="Muli" w:eastAsia="Muli" w:hAnsi="Muli" w:cs="Muli"/>
                <w:sz w:val="20"/>
                <w:szCs w:val="20"/>
              </w:rPr>
              <w:t>k Assessment Survival of the Fittest Flower ( TE pp. 236–243), Rubric 1 assesses all three dimensions of PE MS-LS1-4 (SEP-7, LS1.B, CCC-2), Rubric 3 assesses all three dimensions of PE MS-LS1-5 (SEP-6, LS1.B, CCC-2), and Rubrics 2 and 4 between them assess</w:t>
            </w:r>
            <w:r>
              <w:rPr>
                <w:rFonts w:ascii="Muli" w:eastAsia="Muli" w:hAnsi="Muli" w:cs="Muli"/>
                <w:sz w:val="20"/>
                <w:szCs w:val="20"/>
              </w:rPr>
              <w:t xml:space="preserve"> SEP-2, LS3.A, LS3.B, and CCC-2 (all part of PE MS-LS3-2). Rubric 2 details that a student with developing mastery of these dimensions would create a partial model, with some inaccuracies. It says that, for example, the student might accurately use arrows </w:t>
            </w:r>
            <w:r>
              <w:rPr>
                <w:rFonts w:ascii="Muli" w:eastAsia="Muli" w:hAnsi="Muli" w:cs="Muli"/>
                <w:sz w:val="20"/>
                <w:szCs w:val="20"/>
              </w:rPr>
              <w:t>to show where the offspring gets their petal alleles, but misplace the arrows for the root system alleles.</w:t>
            </w:r>
          </w:p>
        </w:tc>
      </w:tr>
      <w:tr w:rsidR="00C56CD1" w14:paraId="642FE8F1" w14:textId="77777777">
        <w:trPr>
          <w:trHeight w:val="600"/>
        </w:trPr>
        <w:tc>
          <w:tcPr>
            <w:tcW w:w="13950" w:type="dxa"/>
            <w:gridSpan w:val="2"/>
            <w:shd w:val="clear" w:color="auto" w:fill="D9D9D9"/>
            <w:tcMar>
              <w:top w:w="99" w:type="dxa"/>
              <w:left w:w="99" w:type="dxa"/>
              <w:bottom w:w="99" w:type="dxa"/>
              <w:right w:w="99" w:type="dxa"/>
            </w:tcMar>
          </w:tcPr>
          <w:p w14:paraId="5454AFEA" w14:textId="77777777" w:rsidR="00C56CD1" w:rsidRDefault="00DA00BA">
            <w:pPr>
              <w:pStyle w:val="normal0"/>
              <w:ind w:left="90" w:right="150"/>
              <w:rPr>
                <w:rFonts w:ascii="Muli" w:eastAsia="Muli" w:hAnsi="Muli" w:cs="Muli"/>
                <w:b/>
                <w:sz w:val="20"/>
                <w:szCs w:val="20"/>
              </w:rPr>
            </w:pPr>
            <w:r>
              <w:rPr>
                <w:rFonts w:ascii="Muli" w:eastAsia="Muli" w:hAnsi="Muli" w:cs="Muli"/>
                <w:b/>
                <w:sz w:val="20"/>
                <w:szCs w:val="20"/>
              </w:rPr>
              <w:t xml:space="preserve">SP2. Variety of Measure. </w:t>
            </w:r>
          </w:p>
          <w:p w14:paraId="4FED7860" w14:textId="77777777" w:rsidR="00C56CD1" w:rsidRDefault="00DA00BA">
            <w:pPr>
              <w:pStyle w:val="normal0"/>
              <w:ind w:left="90" w:right="150"/>
              <w:rPr>
                <w:rFonts w:ascii="Muli" w:eastAsia="Muli" w:hAnsi="Muli" w:cs="Muli"/>
                <w:b/>
                <w:color w:val="FF126D"/>
                <w:sz w:val="20"/>
                <w:szCs w:val="20"/>
              </w:rPr>
            </w:pPr>
            <w:r>
              <w:rPr>
                <w:rFonts w:ascii="Muli" w:eastAsia="Muli" w:hAnsi="Muli" w:cs="Muli"/>
                <w:sz w:val="20"/>
                <w:szCs w:val="20"/>
              </w:rPr>
              <w:t>The module provides strong guidance and scoring tools for using a variety of measures matched to the targeted learning goa</w:t>
            </w:r>
            <w:r>
              <w:rPr>
                <w:rFonts w:ascii="Muli" w:eastAsia="Muli" w:hAnsi="Muli" w:cs="Muli"/>
                <w:sz w:val="20"/>
                <w:szCs w:val="20"/>
              </w:rPr>
              <w:t>ls to help students monitor their progress toward learning goals and reflect on what they have learned, how they learn it, and how to use metacognition productively.</w:t>
            </w:r>
          </w:p>
        </w:tc>
      </w:tr>
      <w:tr w:rsidR="00C56CD1" w14:paraId="3DBA4222" w14:textId="77777777">
        <w:trPr>
          <w:trHeight w:val="2520"/>
        </w:trPr>
        <w:tc>
          <w:tcPr>
            <w:tcW w:w="9600" w:type="dxa"/>
            <w:tcMar>
              <w:top w:w="99" w:type="dxa"/>
              <w:left w:w="99" w:type="dxa"/>
              <w:bottom w:w="99" w:type="dxa"/>
              <w:right w:w="99" w:type="dxa"/>
            </w:tcMar>
          </w:tcPr>
          <w:p w14:paraId="1D085F3D" w14:textId="77777777" w:rsidR="00C56CD1" w:rsidRDefault="00DA00BA">
            <w:pPr>
              <w:pStyle w:val="normal0"/>
              <w:ind w:left="90" w:right="150"/>
              <w:rPr>
                <w:rFonts w:ascii="Muli" w:eastAsia="Muli" w:hAnsi="Muli" w:cs="Muli"/>
                <w:b/>
                <w:color w:val="FF126D"/>
                <w:sz w:val="20"/>
                <w:szCs w:val="20"/>
              </w:rPr>
            </w:pPr>
            <w:r>
              <w:rPr>
                <w:rFonts w:ascii="Muli" w:eastAsia="Muli" w:hAnsi="Muli" w:cs="Muli"/>
                <w:b/>
                <w:color w:val="FF126D"/>
                <w:sz w:val="20"/>
                <w:szCs w:val="20"/>
              </w:rPr>
              <w:lastRenderedPageBreak/>
              <w:t xml:space="preserve">Evidence </w:t>
            </w:r>
          </w:p>
          <w:p w14:paraId="653A5A09" w14:textId="77777777" w:rsidR="00C56CD1" w:rsidRDefault="00DA00BA">
            <w:pPr>
              <w:pStyle w:val="normal0"/>
              <w:numPr>
                <w:ilvl w:val="0"/>
                <w:numId w:val="2"/>
              </w:numPr>
              <w:ind w:right="150"/>
              <w:contextualSpacing/>
              <w:rPr>
                <w:rFonts w:ascii="Muli" w:eastAsia="Muli" w:hAnsi="Muli" w:cs="Muli"/>
                <w:sz w:val="20"/>
                <w:szCs w:val="20"/>
              </w:rPr>
            </w:pPr>
            <w:r>
              <w:rPr>
                <w:rFonts w:ascii="Muli" w:eastAsia="Muli" w:hAnsi="Muli" w:cs="Muli"/>
                <w:sz w:val="20"/>
                <w:szCs w:val="20"/>
              </w:rPr>
              <w:t>Teacher support for guidance and scoring tools matched to the learning goals is</w:t>
            </w:r>
            <w:r>
              <w:rPr>
                <w:rFonts w:ascii="Muli" w:eastAsia="Muli" w:hAnsi="Muli" w:cs="Muli"/>
                <w:sz w:val="20"/>
                <w:szCs w:val="20"/>
              </w:rPr>
              <w:t xml:space="preserve"> integrated through the module. In addition to the rubrics mentioned above and answer guides for the module multiple choice assessment, the printed Teacher Edition contains Twig Book reduxes with sample student answers, so at a glance teachers have guidanc</w:t>
            </w:r>
            <w:r>
              <w:rPr>
                <w:rFonts w:ascii="Muli" w:eastAsia="Muli" w:hAnsi="Muli" w:cs="Muli"/>
                <w:sz w:val="20"/>
                <w:szCs w:val="20"/>
              </w:rPr>
              <w:t xml:space="preserve">e on what student understanding looks like (for example, </w:t>
            </w:r>
            <w:r>
              <w:rPr>
                <w:rFonts w:ascii="Muli" w:eastAsia="Muli" w:hAnsi="Muli" w:cs="Muli"/>
                <w:b/>
                <w:color w:val="FF126D"/>
                <w:sz w:val="20"/>
                <w:szCs w:val="20"/>
              </w:rPr>
              <w:t>DQ1L9 TE p. 77</w:t>
            </w:r>
            <w:r>
              <w:rPr>
                <w:rFonts w:ascii="Muli" w:eastAsia="Muli" w:hAnsi="Muli" w:cs="Muli"/>
                <w:sz w:val="20"/>
                <w:szCs w:val="20"/>
              </w:rPr>
              <w:t xml:space="preserve">, </w:t>
            </w:r>
            <w:r>
              <w:rPr>
                <w:rFonts w:ascii="Muli" w:eastAsia="Muli" w:hAnsi="Muli" w:cs="Muli"/>
                <w:b/>
                <w:color w:val="FF126D"/>
                <w:sz w:val="20"/>
                <w:szCs w:val="20"/>
              </w:rPr>
              <w:t>DQ2L3 TE p. 119</w:t>
            </w:r>
            <w:r>
              <w:rPr>
                <w:rFonts w:ascii="Muli" w:eastAsia="Muli" w:hAnsi="Muli" w:cs="Muli"/>
                <w:sz w:val="20"/>
                <w:szCs w:val="20"/>
              </w:rPr>
              <w:t>, DQ2L11 TE p. 182, DQ3L1 TE p. 193, DQ4L2 TE p. 265). A digital version of this completed Twig Book is available online.</w:t>
            </w:r>
          </w:p>
          <w:p w14:paraId="0A9CF1ED" w14:textId="77777777" w:rsidR="00C56CD1" w:rsidRDefault="00C56CD1">
            <w:pPr>
              <w:pStyle w:val="normal0"/>
              <w:ind w:right="150"/>
              <w:rPr>
                <w:rFonts w:ascii="Muli" w:eastAsia="Muli" w:hAnsi="Muli" w:cs="Muli"/>
                <w:b/>
                <w:color w:val="FF126D"/>
                <w:sz w:val="20"/>
                <w:szCs w:val="20"/>
              </w:rPr>
            </w:pPr>
          </w:p>
        </w:tc>
        <w:tc>
          <w:tcPr>
            <w:tcW w:w="4350" w:type="dxa"/>
            <w:tcMar>
              <w:top w:w="99" w:type="dxa"/>
              <w:left w:w="99" w:type="dxa"/>
              <w:bottom w:w="99" w:type="dxa"/>
              <w:right w:w="99" w:type="dxa"/>
            </w:tcMar>
          </w:tcPr>
          <w:p w14:paraId="41F9BEBB" w14:textId="77777777" w:rsidR="00C56CD1" w:rsidRDefault="00DA00BA">
            <w:pPr>
              <w:pStyle w:val="normal0"/>
              <w:ind w:left="-90"/>
              <w:rPr>
                <w:rFonts w:ascii="Muli" w:eastAsia="Muli" w:hAnsi="Muli" w:cs="Muli"/>
                <w:b/>
                <w:sz w:val="20"/>
                <w:szCs w:val="20"/>
              </w:rPr>
            </w:pPr>
            <w:r>
              <w:rPr>
                <w:rFonts w:ascii="Muli" w:eastAsia="Muli" w:hAnsi="Muli" w:cs="Muli"/>
                <w:b/>
                <w:noProof/>
                <w:sz w:val="20"/>
                <w:szCs w:val="20"/>
              </w:rPr>
              <w:drawing>
                <wp:inline distT="114300" distB="114300" distL="114300" distR="114300" wp14:anchorId="2620B1BC" wp14:editId="4F4F4F50">
                  <wp:extent cx="2357438" cy="2904090"/>
                  <wp:effectExtent l="0" t="0" r="0" b="0"/>
                  <wp:docPr id="4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5"/>
                          <a:srcRect/>
                          <a:stretch>
                            <a:fillRect/>
                          </a:stretch>
                        </pic:blipFill>
                        <pic:spPr>
                          <a:xfrm>
                            <a:off x="0" y="0"/>
                            <a:ext cx="2357438" cy="2904090"/>
                          </a:xfrm>
                          <a:prstGeom prst="rect">
                            <a:avLst/>
                          </a:prstGeom>
                          <a:ln/>
                        </pic:spPr>
                      </pic:pic>
                    </a:graphicData>
                  </a:graphic>
                </wp:inline>
              </w:drawing>
            </w:r>
          </w:p>
          <w:p w14:paraId="2516D72A" w14:textId="77777777" w:rsidR="00C56CD1" w:rsidRDefault="00DA00BA">
            <w:pPr>
              <w:pStyle w:val="normal0"/>
              <w:ind w:right="150"/>
              <w:rPr>
                <w:rFonts w:ascii="Muli" w:eastAsia="Muli" w:hAnsi="Muli" w:cs="Muli"/>
                <w:b/>
                <w:color w:val="FF126D"/>
                <w:sz w:val="20"/>
                <w:szCs w:val="20"/>
              </w:rPr>
            </w:pPr>
            <w:r>
              <w:rPr>
                <w:rFonts w:ascii="Muli" w:eastAsia="Muli" w:hAnsi="Muli" w:cs="Muli"/>
                <w:b/>
                <w:color w:val="FF126D"/>
                <w:sz w:val="20"/>
                <w:szCs w:val="20"/>
              </w:rPr>
              <w:t>DQ1L9 TE p. 77</w:t>
            </w:r>
          </w:p>
          <w:p w14:paraId="784927D1" w14:textId="77777777" w:rsidR="00C56CD1" w:rsidRDefault="00C56CD1">
            <w:pPr>
              <w:pStyle w:val="normal0"/>
              <w:ind w:right="150"/>
              <w:rPr>
                <w:rFonts w:ascii="Muli" w:eastAsia="Muli" w:hAnsi="Muli" w:cs="Muli"/>
                <w:b/>
                <w:color w:val="FF126D"/>
                <w:sz w:val="20"/>
                <w:szCs w:val="20"/>
              </w:rPr>
            </w:pPr>
          </w:p>
          <w:p w14:paraId="29897AA8" w14:textId="77777777" w:rsidR="00C56CD1" w:rsidRDefault="00DA00BA">
            <w:pPr>
              <w:pStyle w:val="normal0"/>
              <w:ind w:right="15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30A29DFC" wp14:editId="699391EE">
                  <wp:extent cx="2628900" cy="685800"/>
                  <wp:effectExtent l="12700" t="12700" r="12700" b="12700"/>
                  <wp:docPr id="4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2628900" cy="685800"/>
                          </a:xfrm>
                          <a:prstGeom prst="rect">
                            <a:avLst/>
                          </a:prstGeom>
                          <a:ln w="12700">
                            <a:solidFill>
                              <a:srgbClr val="CCCCCC"/>
                            </a:solidFill>
                            <a:prstDash val="solid"/>
                          </a:ln>
                        </pic:spPr>
                      </pic:pic>
                    </a:graphicData>
                  </a:graphic>
                </wp:inline>
              </w:drawing>
            </w:r>
          </w:p>
          <w:p w14:paraId="1A335115" w14:textId="77777777" w:rsidR="00C56CD1" w:rsidRDefault="00DA00BA">
            <w:pPr>
              <w:pStyle w:val="normal0"/>
              <w:ind w:right="150"/>
              <w:rPr>
                <w:rFonts w:ascii="Muli" w:eastAsia="Muli" w:hAnsi="Muli" w:cs="Muli"/>
                <w:b/>
                <w:color w:val="FF126D"/>
                <w:sz w:val="20"/>
                <w:szCs w:val="20"/>
              </w:rPr>
            </w:pPr>
            <w:r>
              <w:rPr>
                <w:rFonts w:ascii="Muli" w:eastAsia="Muli" w:hAnsi="Muli" w:cs="Muli"/>
                <w:b/>
                <w:color w:val="FF126D"/>
                <w:sz w:val="20"/>
                <w:szCs w:val="20"/>
              </w:rPr>
              <w:t>DQ2L3 TE p. 119</w:t>
            </w:r>
          </w:p>
        </w:tc>
      </w:tr>
      <w:tr w:rsidR="00C56CD1" w14:paraId="5278D61C" w14:textId="77777777">
        <w:trPr>
          <w:trHeight w:val="1020"/>
        </w:trPr>
        <w:tc>
          <w:tcPr>
            <w:tcW w:w="9600" w:type="dxa"/>
            <w:tcMar>
              <w:top w:w="99" w:type="dxa"/>
              <w:left w:w="99" w:type="dxa"/>
              <w:bottom w:w="99" w:type="dxa"/>
              <w:right w:w="99" w:type="dxa"/>
            </w:tcMar>
          </w:tcPr>
          <w:p w14:paraId="2D87F256" w14:textId="77777777" w:rsidR="00C56CD1" w:rsidRDefault="00DA00BA">
            <w:pPr>
              <w:pStyle w:val="normal0"/>
              <w:numPr>
                <w:ilvl w:val="0"/>
                <w:numId w:val="2"/>
              </w:numPr>
              <w:ind w:right="150"/>
              <w:contextualSpacing/>
              <w:rPr>
                <w:rFonts w:ascii="Muli" w:eastAsia="Muli" w:hAnsi="Muli" w:cs="Muli"/>
                <w:sz w:val="20"/>
                <w:szCs w:val="20"/>
              </w:rPr>
            </w:pPr>
            <w:r>
              <w:rPr>
                <w:rFonts w:ascii="Muli" w:eastAsia="Muli" w:hAnsi="Muli" w:cs="Muli"/>
                <w:sz w:val="20"/>
                <w:szCs w:val="20"/>
              </w:rPr>
              <w:lastRenderedPageBreak/>
              <w:t>Assessments are multimodal and support a variety of learning styles and abilities. They include:</w:t>
            </w:r>
          </w:p>
          <w:p w14:paraId="53689ADE" w14:textId="77777777" w:rsidR="00C56CD1" w:rsidRDefault="00DA00BA">
            <w:pPr>
              <w:pStyle w:val="normal0"/>
              <w:numPr>
                <w:ilvl w:val="1"/>
                <w:numId w:val="2"/>
              </w:numPr>
              <w:ind w:right="90"/>
              <w:contextualSpacing/>
              <w:rPr>
                <w:rFonts w:ascii="Muli" w:eastAsia="Muli" w:hAnsi="Muli" w:cs="Muli"/>
                <w:sz w:val="20"/>
                <w:szCs w:val="20"/>
              </w:rPr>
            </w:pPr>
            <w:r>
              <w:rPr>
                <w:rFonts w:ascii="Muli" w:eastAsia="Muli" w:hAnsi="Muli" w:cs="Muli"/>
                <w:sz w:val="20"/>
                <w:szCs w:val="20"/>
              </w:rPr>
              <w:t xml:space="preserve">Performance Tasks (constructed response, written and filling in charts </w:t>
            </w:r>
            <w:r>
              <w:rPr>
                <w:rFonts w:ascii="Muli" w:eastAsia="Muli" w:hAnsi="Muli" w:cs="Muli"/>
                <w:b/>
                <w:color w:val="FF126D"/>
                <w:sz w:val="20"/>
                <w:szCs w:val="20"/>
              </w:rPr>
              <w:t>DQ1L10 TB pp. 47–48</w:t>
            </w:r>
            <w:r>
              <w:rPr>
                <w:rFonts w:ascii="Muli" w:eastAsia="Muli" w:hAnsi="Muli" w:cs="Muli"/>
                <w:sz w:val="20"/>
                <w:szCs w:val="20"/>
              </w:rPr>
              <w:t>, DQ2L10 TE pp. 78–79, DQ3 L3–5 TE pp. 140–148)</w:t>
            </w:r>
          </w:p>
        </w:tc>
        <w:tc>
          <w:tcPr>
            <w:tcW w:w="4350" w:type="dxa"/>
            <w:tcMar>
              <w:top w:w="99" w:type="dxa"/>
              <w:left w:w="99" w:type="dxa"/>
              <w:bottom w:w="99" w:type="dxa"/>
              <w:right w:w="99" w:type="dxa"/>
            </w:tcMar>
          </w:tcPr>
          <w:p w14:paraId="6F0A1761" w14:textId="77777777" w:rsidR="00C56CD1" w:rsidRDefault="00DA00BA">
            <w:pPr>
              <w:pStyle w:val="normal0"/>
              <w:rPr>
                <w:rFonts w:ascii="Muli" w:eastAsia="Muli" w:hAnsi="Muli" w:cs="Muli"/>
                <w:b/>
                <w:sz w:val="20"/>
                <w:szCs w:val="20"/>
              </w:rPr>
            </w:pPr>
            <w:r>
              <w:rPr>
                <w:rFonts w:ascii="Muli" w:eastAsia="Muli" w:hAnsi="Muli" w:cs="Muli"/>
                <w:b/>
                <w:noProof/>
                <w:sz w:val="20"/>
                <w:szCs w:val="20"/>
              </w:rPr>
              <w:drawing>
                <wp:inline distT="114300" distB="114300" distL="114300" distR="114300" wp14:anchorId="5D5238F1" wp14:editId="365F5B74">
                  <wp:extent cx="2628900" cy="2371725"/>
                  <wp:effectExtent l="12700" t="12700" r="12700" b="12700"/>
                  <wp:docPr id="1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7"/>
                          <a:srcRect b="23853"/>
                          <a:stretch>
                            <a:fillRect/>
                          </a:stretch>
                        </pic:blipFill>
                        <pic:spPr>
                          <a:xfrm>
                            <a:off x="0" y="0"/>
                            <a:ext cx="2628900" cy="2371725"/>
                          </a:xfrm>
                          <a:prstGeom prst="rect">
                            <a:avLst/>
                          </a:prstGeom>
                          <a:ln w="12700">
                            <a:solidFill>
                              <a:srgbClr val="D9D9D9"/>
                            </a:solidFill>
                            <a:prstDash val="solid"/>
                          </a:ln>
                        </pic:spPr>
                      </pic:pic>
                    </a:graphicData>
                  </a:graphic>
                </wp:inline>
              </w:drawing>
            </w:r>
          </w:p>
          <w:p w14:paraId="712FD12E" w14:textId="77777777" w:rsidR="00C56CD1" w:rsidRDefault="00DA00BA">
            <w:pPr>
              <w:pStyle w:val="normal0"/>
              <w:ind w:right="90"/>
              <w:rPr>
                <w:rFonts w:ascii="Muli" w:eastAsia="Muli" w:hAnsi="Muli" w:cs="Muli"/>
                <w:b/>
                <w:sz w:val="20"/>
                <w:szCs w:val="20"/>
              </w:rPr>
            </w:pPr>
            <w:r>
              <w:rPr>
                <w:rFonts w:ascii="Muli" w:eastAsia="Muli" w:hAnsi="Muli" w:cs="Muli"/>
                <w:b/>
                <w:color w:val="FF126D"/>
                <w:sz w:val="20"/>
                <w:szCs w:val="20"/>
              </w:rPr>
              <w:t>DQ1L10 TB pp. 47–48</w:t>
            </w:r>
          </w:p>
        </w:tc>
      </w:tr>
      <w:tr w:rsidR="00C56CD1" w14:paraId="2A284D1B" w14:textId="77777777">
        <w:trPr>
          <w:trHeight w:val="1020"/>
        </w:trPr>
        <w:tc>
          <w:tcPr>
            <w:tcW w:w="9600" w:type="dxa"/>
            <w:tcMar>
              <w:top w:w="99" w:type="dxa"/>
              <w:left w:w="99" w:type="dxa"/>
              <w:bottom w:w="99" w:type="dxa"/>
              <w:right w:w="99" w:type="dxa"/>
            </w:tcMar>
          </w:tcPr>
          <w:p w14:paraId="00BAC884" w14:textId="77777777" w:rsidR="00C56CD1" w:rsidRDefault="00DA00BA">
            <w:pPr>
              <w:pStyle w:val="normal0"/>
              <w:numPr>
                <w:ilvl w:val="1"/>
                <w:numId w:val="2"/>
              </w:numPr>
              <w:ind w:right="90"/>
              <w:contextualSpacing/>
              <w:rPr>
                <w:rFonts w:ascii="Muli" w:eastAsia="Muli" w:hAnsi="Muli" w:cs="Muli"/>
                <w:sz w:val="20"/>
                <w:szCs w:val="20"/>
              </w:rPr>
            </w:pPr>
            <w:r>
              <w:rPr>
                <w:rFonts w:ascii="Muli" w:eastAsia="Muli" w:hAnsi="Muli" w:cs="Muli"/>
                <w:sz w:val="20"/>
                <w:szCs w:val="20"/>
              </w:rPr>
              <w:t>Discussions (</w:t>
            </w:r>
            <w:r>
              <w:rPr>
                <w:rFonts w:ascii="Muli" w:eastAsia="Muli" w:hAnsi="Muli" w:cs="Muli"/>
                <w:b/>
                <w:color w:val="FF126D"/>
                <w:sz w:val="20"/>
                <w:szCs w:val="20"/>
              </w:rPr>
              <w:t>TE DQ1 L1 p. 16</w:t>
            </w:r>
            <w:r>
              <w:rPr>
                <w:rFonts w:ascii="Muli" w:eastAsia="Muli" w:hAnsi="Muli" w:cs="Muli"/>
                <w:sz w:val="20"/>
                <w:szCs w:val="20"/>
              </w:rPr>
              <w:t>, DQ1L6 TE p. 55, DQ1L8 TE p. 69, DQ2L7 TE p. 152)</w:t>
            </w:r>
          </w:p>
        </w:tc>
        <w:tc>
          <w:tcPr>
            <w:tcW w:w="4350" w:type="dxa"/>
            <w:tcMar>
              <w:top w:w="99" w:type="dxa"/>
              <w:left w:w="99" w:type="dxa"/>
              <w:bottom w:w="99" w:type="dxa"/>
              <w:right w:w="99" w:type="dxa"/>
            </w:tcMar>
          </w:tcPr>
          <w:p w14:paraId="18AB295A" w14:textId="77777777" w:rsidR="00C56CD1" w:rsidRDefault="00DA00BA">
            <w:pPr>
              <w:pStyle w:val="normal0"/>
              <w:rPr>
                <w:rFonts w:ascii="Muli" w:eastAsia="Muli" w:hAnsi="Muli" w:cs="Muli"/>
                <w:b/>
                <w:sz w:val="20"/>
                <w:szCs w:val="20"/>
              </w:rPr>
            </w:pPr>
            <w:r>
              <w:rPr>
                <w:rFonts w:ascii="Muli" w:eastAsia="Muli" w:hAnsi="Muli" w:cs="Muli"/>
                <w:b/>
                <w:noProof/>
                <w:sz w:val="20"/>
                <w:szCs w:val="20"/>
              </w:rPr>
              <w:drawing>
                <wp:inline distT="114300" distB="114300" distL="114300" distR="114300" wp14:anchorId="03444C2F" wp14:editId="6E2B4EC9">
                  <wp:extent cx="2562225" cy="962025"/>
                  <wp:effectExtent l="12700" t="12700" r="12700" b="1270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r="2536"/>
                          <a:stretch>
                            <a:fillRect/>
                          </a:stretch>
                        </pic:blipFill>
                        <pic:spPr>
                          <a:xfrm>
                            <a:off x="0" y="0"/>
                            <a:ext cx="2562225" cy="962025"/>
                          </a:xfrm>
                          <a:prstGeom prst="rect">
                            <a:avLst/>
                          </a:prstGeom>
                          <a:ln w="12700">
                            <a:solidFill>
                              <a:srgbClr val="CCCCCC"/>
                            </a:solidFill>
                            <a:prstDash val="solid"/>
                          </a:ln>
                        </pic:spPr>
                      </pic:pic>
                    </a:graphicData>
                  </a:graphic>
                </wp:inline>
              </w:drawing>
            </w:r>
          </w:p>
          <w:p w14:paraId="795E1A6A" w14:textId="77777777" w:rsidR="00C56CD1" w:rsidRDefault="00DA00BA">
            <w:pPr>
              <w:pStyle w:val="normal0"/>
              <w:ind w:right="90"/>
              <w:rPr>
                <w:rFonts w:ascii="Muli" w:eastAsia="Muli" w:hAnsi="Muli" w:cs="Muli"/>
                <w:b/>
                <w:sz w:val="20"/>
                <w:szCs w:val="20"/>
              </w:rPr>
            </w:pPr>
            <w:r>
              <w:rPr>
                <w:rFonts w:ascii="Muli" w:eastAsia="Muli" w:hAnsi="Muli" w:cs="Muli"/>
                <w:b/>
                <w:color w:val="FF126D"/>
                <w:sz w:val="20"/>
                <w:szCs w:val="20"/>
              </w:rPr>
              <w:t>TE DQ1 L1 p. 16</w:t>
            </w:r>
          </w:p>
        </w:tc>
      </w:tr>
      <w:tr w:rsidR="00C56CD1" w14:paraId="67F7756E" w14:textId="77777777">
        <w:trPr>
          <w:trHeight w:val="1020"/>
        </w:trPr>
        <w:tc>
          <w:tcPr>
            <w:tcW w:w="9600" w:type="dxa"/>
            <w:tcMar>
              <w:top w:w="99" w:type="dxa"/>
              <w:left w:w="99" w:type="dxa"/>
              <w:bottom w:w="99" w:type="dxa"/>
              <w:right w:w="99" w:type="dxa"/>
            </w:tcMar>
          </w:tcPr>
          <w:p w14:paraId="6722D8F3" w14:textId="77777777" w:rsidR="00C56CD1" w:rsidRDefault="00DA00BA">
            <w:pPr>
              <w:pStyle w:val="normal0"/>
              <w:numPr>
                <w:ilvl w:val="1"/>
                <w:numId w:val="2"/>
              </w:numPr>
              <w:ind w:right="90"/>
              <w:contextualSpacing/>
              <w:rPr>
                <w:rFonts w:ascii="Muli" w:eastAsia="Muli" w:hAnsi="Muli" w:cs="Muli"/>
                <w:sz w:val="20"/>
                <w:szCs w:val="20"/>
              </w:rPr>
            </w:pPr>
            <w:r>
              <w:rPr>
                <w:rFonts w:ascii="Muli" w:eastAsia="Muli" w:hAnsi="Muli" w:cs="Muli"/>
                <w:sz w:val="20"/>
                <w:szCs w:val="20"/>
              </w:rPr>
              <w:t>Constructed response (written, filling in charts, drawn, and multiple choice</w:t>
            </w:r>
            <w:r>
              <w:rPr>
                <w:rFonts w:ascii="Muli" w:eastAsia="Muli" w:hAnsi="Muli" w:cs="Muli"/>
                <w:b/>
                <w:color w:val="FF126D"/>
                <w:sz w:val="20"/>
                <w:szCs w:val="20"/>
              </w:rPr>
              <w:t xml:space="preserve"> DQ1L3 TB pp. 8–11</w:t>
            </w:r>
            <w:r>
              <w:rPr>
                <w:rFonts w:ascii="Muli" w:eastAsia="Muli" w:hAnsi="Muli" w:cs="Muli"/>
                <w:sz w:val="20"/>
                <w:szCs w:val="20"/>
              </w:rPr>
              <w:t xml:space="preserve">, DQ1L6 TB p. 24, DQ2L4 TB pp. 61–62, DQ2L8 TB pp. 72–73, </w:t>
            </w:r>
            <w:r>
              <w:rPr>
                <w:rFonts w:ascii="Muli" w:eastAsia="Muli" w:hAnsi="Muli" w:cs="Muli"/>
                <w:sz w:val="20"/>
                <w:szCs w:val="20"/>
              </w:rPr>
              <w:t>DQ3L1 TB p. 90)</w:t>
            </w:r>
          </w:p>
        </w:tc>
        <w:tc>
          <w:tcPr>
            <w:tcW w:w="4350" w:type="dxa"/>
            <w:tcMar>
              <w:top w:w="99" w:type="dxa"/>
              <w:left w:w="99" w:type="dxa"/>
              <w:bottom w:w="99" w:type="dxa"/>
              <w:right w:w="99" w:type="dxa"/>
            </w:tcMar>
          </w:tcPr>
          <w:p w14:paraId="3EE9E1CE" w14:textId="77777777" w:rsidR="00C56CD1" w:rsidRDefault="00DA00BA">
            <w:pPr>
              <w:pStyle w:val="normal0"/>
              <w:ind w:left="90" w:hanging="90"/>
              <w:rPr>
                <w:rFonts w:ascii="Muli" w:eastAsia="Muli" w:hAnsi="Muli" w:cs="Muli"/>
                <w:b/>
                <w:sz w:val="20"/>
                <w:szCs w:val="20"/>
              </w:rPr>
            </w:pPr>
            <w:r>
              <w:rPr>
                <w:rFonts w:ascii="Muli" w:eastAsia="Muli" w:hAnsi="Muli" w:cs="Muli"/>
                <w:b/>
                <w:noProof/>
                <w:sz w:val="20"/>
                <w:szCs w:val="20"/>
              </w:rPr>
              <w:drawing>
                <wp:inline distT="114300" distB="114300" distL="114300" distR="114300" wp14:anchorId="0E7A5934" wp14:editId="06BCE4C1">
                  <wp:extent cx="2566988" cy="1664822"/>
                  <wp:effectExtent l="0" t="0" r="0" b="0"/>
                  <wp:docPr id="5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9"/>
                          <a:srcRect/>
                          <a:stretch>
                            <a:fillRect/>
                          </a:stretch>
                        </pic:blipFill>
                        <pic:spPr>
                          <a:xfrm>
                            <a:off x="0" y="0"/>
                            <a:ext cx="2566988" cy="1664822"/>
                          </a:xfrm>
                          <a:prstGeom prst="rect">
                            <a:avLst/>
                          </a:prstGeom>
                          <a:ln/>
                        </pic:spPr>
                      </pic:pic>
                    </a:graphicData>
                  </a:graphic>
                </wp:inline>
              </w:drawing>
            </w:r>
          </w:p>
          <w:p w14:paraId="2D887B85" w14:textId="77777777" w:rsidR="00C56CD1" w:rsidRDefault="00DA00BA">
            <w:pPr>
              <w:pStyle w:val="normal0"/>
              <w:ind w:left="720" w:right="90" w:hanging="720"/>
              <w:rPr>
                <w:rFonts w:ascii="Muli" w:eastAsia="Muli" w:hAnsi="Muli" w:cs="Muli"/>
                <w:b/>
                <w:sz w:val="20"/>
                <w:szCs w:val="20"/>
              </w:rPr>
            </w:pPr>
            <w:r>
              <w:rPr>
                <w:rFonts w:ascii="Muli" w:eastAsia="Muli" w:hAnsi="Muli" w:cs="Muli"/>
                <w:b/>
                <w:color w:val="FF126D"/>
                <w:sz w:val="20"/>
                <w:szCs w:val="20"/>
              </w:rPr>
              <w:t xml:space="preserve"> DQ1L3 TB pp. 8–11</w:t>
            </w:r>
          </w:p>
        </w:tc>
      </w:tr>
      <w:tr w:rsidR="00C56CD1" w14:paraId="32DA54F1" w14:textId="77777777">
        <w:trPr>
          <w:trHeight w:val="1020"/>
        </w:trPr>
        <w:tc>
          <w:tcPr>
            <w:tcW w:w="9600" w:type="dxa"/>
            <w:tcMar>
              <w:top w:w="99" w:type="dxa"/>
              <w:left w:w="99" w:type="dxa"/>
              <w:bottom w:w="99" w:type="dxa"/>
              <w:right w:w="99" w:type="dxa"/>
            </w:tcMar>
          </w:tcPr>
          <w:p w14:paraId="1B60EE2E" w14:textId="77777777" w:rsidR="00C56CD1" w:rsidRDefault="00DA00BA">
            <w:pPr>
              <w:pStyle w:val="normal0"/>
              <w:numPr>
                <w:ilvl w:val="1"/>
                <w:numId w:val="2"/>
              </w:numPr>
              <w:ind w:right="90"/>
              <w:contextualSpacing/>
              <w:rPr>
                <w:rFonts w:ascii="Muli" w:eastAsia="Muli" w:hAnsi="Muli" w:cs="Muli"/>
                <w:sz w:val="20"/>
                <w:szCs w:val="20"/>
              </w:rPr>
            </w:pPr>
            <w:r>
              <w:rPr>
                <w:rFonts w:ascii="Muli" w:eastAsia="Muli" w:hAnsi="Muli" w:cs="Muli"/>
                <w:sz w:val="20"/>
                <w:szCs w:val="20"/>
              </w:rPr>
              <w:lastRenderedPageBreak/>
              <w:t>Self and</w:t>
            </w:r>
            <w:r>
              <w:rPr>
                <w:rFonts w:ascii="Muli" w:eastAsia="Muli" w:hAnsi="Muli" w:cs="Muli"/>
                <w:color w:val="0000FF"/>
                <w:sz w:val="20"/>
                <w:szCs w:val="20"/>
              </w:rPr>
              <w:t xml:space="preserve"> </w:t>
            </w:r>
            <w:r>
              <w:rPr>
                <w:rFonts w:ascii="Muli" w:eastAsia="Muli" w:hAnsi="Muli" w:cs="Muli"/>
                <w:sz w:val="20"/>
                <w:szCs w:val="20"/>
              </w:rPr>
              <w:t>peer assessment (</w:t>
            </w:r>
            <w:r>
              <w:rPr>
                <w:rFonts w:ascii="Muli" w:eastAsia="Muli" w:hAnsi="Muli" w:cs="Muli"/>
                <w:b/>
                <w:color w:val="FF126D"/>
                <w:sz w:val="20"/>
                <w:szCs w:val="20"/>
              </w:rPr>
              <w:t>DQ1L10 TE p. 86</w:t>
            </w:r>
            <w:r>
              <w:rPr>
                <w:rFonts w:ascii="Muli" w:eastAsia="Muli" w:hAnsi="Muli" w:cs="Muli"/>
                <w:sz w:val="20"/>
                <w:szCs w:val="20"/>
              </w:rPr>
              <w:t>, DQ4L3 TB p. 143, DQ4L5 TE p. 280)</w:t>
            </w:r>
          </w:p>
        </w:tc>
        <w:tc>
          <w:tcPr>
            <w:tcW w:w="4350" w:type="dxa"/>
            <w:tcMar>
              <w:top w:w="99" w:type="dxa"/>
              <w:left w:w="99" w:type="dxa"/>
              <w:bottom w:w="99" w:type="dxa"/>
              <w:right w:w="99" w:type="dxa"/>
            </w:tcMar>
          </w:tcPr>
          <w:p w14:paraId="709E1FCB" w14:textId="77777777" w:rsidR="00C56CD1" w:rsidRDefault="00DA00BA">
            <w:pPr>
              <w:pStyle w:val="normal0"/>
              <w:rPr>
                <w:rFonts w:ascii="Muli" w:eastAsia="Muli" w:hAnsi="Muli" w:cs="Muli"/>
                <w:b/>
                <w:sz w:val="20"/>
                <w:szCs w:val="20"/>
              </w:rPr>
            </w:pPr>
            <w:r>
              <w:rPr>
                <w:rFonts w:ascii="Muli" w:eastAsia="Muli" w:hAnsi="Muli" w:cs="Muli"/>
                <w:b/>
                <w:noProof/>
                <w:sz w:val="20"/>
                <w:szCs w:val="20"/>
              </w:rPr>
              <w:drawing>
                <wp:inline distT="114300" distB="114300" distL="114300" distR="114300" wp14:anchorId="17A070D2" wp14:editId="0114DE51">
                  <wp:extent cx="2528888" cy="685309"/>
                  <wp:effectExtent l="12700" t="12700" r="12700" b="1270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r="5072"/>
                          <a:stretch>
                            <a:fillRect/>
                          </a:stretch>
                        </pic:blipFill>
                        <pic:spPr>
                          <a:xfrm>
                            <a:off x="0" y="0"/>
                            <a:ext cx="2528888" cy="685309"/>
                          </a:xfrm>
                          <a:prstGeom prst="rect">
                            <a:avLst/>
                          </a:prstGeom>
                          <a:ln w="12700">
                            <a:solidFill>
                              <a:srgbClr val="CCCCCC"/>
                            </a:solidFill>
                            <a:prstDash val="solid"/>
                          </a:ln>
                        </pic:spPr>
                      </pic:pic>
                    </a:graphicData>
                  </a:graphic>
                </wp:inline>
              </w:drawing>
            </w:r>
          </w:p>
          <w:p w14:paraId="7D369AB7" w14:textId="77777777" w:rsidR="00C56CD1" w:rsidRDefault="00DA00BA">
            <w:pPr>
              <w:pStyle w:val="normal0"/>
              <w:ind w:right="90"/>
              <w:rPr>
                <w:rFonts w:ascii="Muli" w:eastAsia="Muli" w:hAnsi="Muli" w:cs="Muli"/>
                <w:b/>
                <w:sz w:val="20"/>
                <w:szCs w:val="20"/>
              </w:rPr>
            </w:pPr>
            <w:r>
              <w:rPr>
                <w:rFonts w:ascii="Muli" w:eastAsia="Muli" w:hAnsi="Muli" w:cs="Muli"/>
                <w:b/>
                <w:color w:val="FF126D"/>
                <w:sz w:val="20"/>
                <w:szCs w:val="20"/>
              </w:rPr>
              <w:t>DQ1L10 TE p. 86</w:t>
            </w:r>
          </w:p>
        </w:tc>
      </w:tr>
      <w:tr w:rsidR="00C56CD1" w14:paraId="3BB2F6CE" w14:textId="77777777">
        <w:trPr>
          <w:trHeight w:val="1020"/>
        </w:trPr>
        <w:tc>
          <w:tcPr>
            <w:tcW w:w="9600" w:type="dxa"/>
            <w:vMerge w:val="restart"/>
            <w:tcMar>
              <w:top w:w="99" w:type="dxa"/>
              <w:left w:w="99" w:type="dxa"/>
              <w:bottom w:w="99" w:type="dxa"/>
              <w:right w:w="99" w:type="dxa"/>
            </w:tcMar>
          </w:tcPr>
          <w:p w14:paraId="7CF98221" w14:textId="77777777" w:rsidR="00C56CD1" w:rsidRDefault="00DA00BA">
            <w:pPr>
              <w:pStyle w:val="normal0"/>
              <w:numPr>
                <w:ilvl w:val="1"/>
                <w:numId w:val="2"/>
              </w:numPr>
              <w:ind w:right="90"/>
              <w:contextualSpacing/>
              <w:rPr>
                <w:rFonts w:ascii="Muli" w:eastAsia="Muli" w:hAnsi="Muli" w:cs="Muli"/>
                <w:sz w:val="20"/>
                <w:szCs w:val="20"/>
              </w:rPr>
            </w:pPr>
            <w:r>
              <w:rPr>
                <w:rFonts w:ascii="Muli" w:eastAsia="Muli" w:hAnsi="Muli" w:cs="Muli"/>
                <w:b/>
                <w:color w:val="FF126D"/>
                <w:sz w:val="20"/>
                <w:szCs w:val="20"/>
              </w:rPr>
              <w:t>Multiple Choice Assessment (DQ4 digital)</w:t>
            </w:r>
          </w:p>
        </w:tc>
        <w:tc>
          <w:tcPr>
            <w:tcW w:w="4350" w:type="dxa"/>
            <w:vMerge w:val="restart"/>
            <w:tcMar>
              <w:top w:w="99" w:type="dxa"/>
              <w:left w:w="99" w:type="dxa"/>
              <w:bottom w:w="99" w:type="dxa"/>
              <w:right w:w="99" w:type="dxa"/>
            </w:tcMar>
          </w:tcPr>
          <w:p w14:paraId="0B02315D" w14:textId="77777777" w:rsidR="00C56CD1" w:rsidRDefault="00DA00BA">
            <w:pPr>
              <w:pStyle w:val="normal0"/>
              <w:rPr>
                <w:rFonts w:ascii="Muli" w:eastAsia="Muli" w:hAnsi="Muli" w:cs="Muli"/>
                <w:b/>
                <w:sz w:val="20"/>
                <w:szCs w:val="20"/>
              </w:rPr>
            </w:pPr>
            <w:r>
              <w:rPr>
                <w:rFonts w:ascii="Muli" w:eastAsia="Muli" w:hAnsi="Muli" w:cs="Muli"/>
                <w:b/>
                <w:noProof/>
                <w:sz w:val="20"/>
                <w:szCs w:val="20"/>
              </w:rPr>
              <w:drawing>
                <wp:inline distT="114300" distB="114300" distL="114300" distR="114300" wp14:anchorId="18A17B7B" wp14:editId="060ADE0D">
                  <wp:extent cx="2357438" cy="2212233"/>
                  <wp:effectExtent l="0" t="0" r="0" b="0"/>
                  <wp:docPr id="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1"/>
                          <a:srcRect/>
                          <a:stretch>
                            <a:fillRect/>
                          </a:stretch>
                        </pic:blipFill>
                        <pic:spPr>
                          <a:xfrm>
                            <a:off x="0" y="0"/>
                            <a:ext cx="2357438" cy="2212233"/>
                          </a:xfrm>
                          <a:prstGeom prst="rect">
                            <a:avLst/>
                          </a:prstGeom>
                          <a:ln/>
                        </pic:spPr>
                      </pic:pic>
                    </a:graphicData>
                  </a:graphic>
                </wp:inline>
              </w:drawing>
            </w:r>
          </w:p>
          <w:p w14:paraId="6E2C7C8C" w14:textId="77777777" w:rsidR="00C56CD1" w:rsidRDefault="00DA00BA">
            <w:pPr>
              <w:pStyle w:val="normal0"/>
              <w:ind w:left="720" w:right="90" w:hanging="720"/>
              <w:rPr>
                <w:rFonts w:ascii="Muli" w:eastAsia="Muli" w:hAnsi="Muli" w:cs="Muli"/>
                <w:b/>
                <w:sz w:val="20"/>
                <w:szCs w:val="20"/>
              </w:rPr>
            </w:pPr>
            <w:r>
              <w:rPr>
                <w:rFonts w:ascii="Muli" w:eastAsia="Muli" w:hAnsi="Muli" w:cs="Muli"/>
                <w:b/>
                <w:color w:val="FF126D"/>
                <w:sz w:val="20"/>
                <w:szCs w:val="20"/>
              </w:rPr>
              <w:t>Multiple Choice Assessment (DQ4 digital)</w:t>
            </w:r>
          </w:p>
        </w:tc>
      </w:tr>
      <w:tr w:rsidR="00C56CD1" w14:paraId="013DB6B3" w14:textId="77777777" w:rsidTr="00A67DBC">
        <w:trPr>
          <w:trHeight w:val="6686"/>
        </w:trPr>
        <w:tc>
          <w:tcPr>
            <w:tcW w:w="9600" w:type="dxa"/>
            <w:vMerge/>
            <w:tcMar>
              <w:top w:w="99" w:type="dxa"/>
              <w:left w:w="99" w:type="dxa"/>
              <w:bottom w:w="99" w:type="dxa"/>
              <w:right w:w="99" w:type="dxa"/>
            </w:tcMar>
          </w:tcPr>
          <w:p w14:paraId="5BB2FEB2" w14:textId="77777777" w:rsidR="00C56CD1" w:rsidRDefault="00C56CD1">
            <w:pPr>
              <w:pStyle w:val="normal0"/>
              <w:ind w:right="150"/>
              <w:rPr>
                <w:rFonts w:ascii="Muli" w:eastAsia="Muli" w:hAnsi="Muli" w:cs="Muli"/>
                <w:b/>
                <w:color w:val="FF126D"/>
                <w:sz w:val="20"/>
                <w:szCs w:val="20"/>
              </w:rPr>
            </w:pPr>
          </w:p>
        </w:tc>
        <w:tc>
          <w:tcPr>
            <w:tcW w:w="4350" w:type="dxa"/>
            <w:vMerge/>
            <w:tcMar>
              <w:top w:w="99" w:type="dxa"/>
              <w:left w:w="99" w:type="dxa"/>
              <w:bottom w:w="99" w:type="dxa"/>
              <w:right w:w="99" w:type="dxa"/>
            </w:tcMar>
          </w:tcPr>
          <w:p w14:paraId="7CE1E5E6" w14:textId="77777777" w:rsidR="00C56CD1" w:rsidRDefault="00C56CD1">
            <w:pPr>
              <w:pStyle w:val="normal0"/>
              <w:rPr>
                <w:rFonts w:ascii="Muli" w:eastAsia="Muli" w:hAnsi="Muli" w:cs="Muli"/>
                <w:b/>
                <w:sz w:val="20"/>
                <w:szCs w:val="20"/>
              </w:rPr>
            </w:pPr>
          </w:p>
        </w:tc>
      </w:tr>
      <w:tr w:rsidR="00C56CD1" w14:paraId="4A3E65D8" w14:textId="77777777" w:rsidTr="00A67DBC">
        <w:trPr>
          <w:trHeight w:val="4435"/>
        </w:trPr>
        <w:tc>
          <w:tcPr>
            <w:tcW w:w="9600" w:type="dxa"/>
            <w:tcMar>
              <w:top w:w="99" w:type="dxa"/>
              <w:left w:w="99" w:type="dxa"/>
              <w:bottom w:w="99" w:type="dxa"/>
              <w:right w:w="99" w:type="dxa"/>
            </w:tcMar>
          </w:tcPr>
          <w:p w14:paraId="3796942B" w14:textId="77777777" w:rsidR="00C56CD1" w:rsidRDefault="00DA00BA">
            <w:pPr>
              <w:pStyle w:val="normal0"/>
              <w:numPr>
                <w:ilvl w:val="0"/>
                <w:numId w:val="2"/>
              </w:numPr>
              <w:ind w:right="150"/>
              <w:contextualSpacing/>
              <w:rPr>
                <w:rFonts w:ascii="Muli" w:eastAsia="Muli" w:hAnsi="Muli" w:cs="Muli"/>
                <w:sz w:val="20"/>
                <w:szCs w:val="20"/>
              </w:rPr>
            </w:pPr>
            <w:r>
              <w:rPr>
                <w:rFonts w:ascii="Muli" w:eastAsia="Muli" w:hAnsi="Muli" w:cs="Muli"/>
                <w:sz w:val="20"/>
                <w:szCs w:val="20"/>
              </w:rPr>
              <w:lastRenderedPageBreak/>
              <w:t>Text to speech function is provided for all digital assets.</w:t>
            </w:r>
          </w:p>
          <w:p w14:paraId="26BF16BB" w14:textId="77777777" w:rsidR="00C56CD1" w:rsidRDefault="00DA00BA">
            <w:pPr>
              <w:pStyle w:val="normal0"/>
              <w:numPr>
                <w:ilvl w:val="0"/>
                <w:numId w:val="2"/>
              </w:numPr>
              <w:ind w:right="150"/>
              <w:contextualSpacing/>
              <w:rPr>
                <w:rFonts w:ascii="Muli" w:eastAsia="Muli" w:hAnsi="Muli" w:cs="Muli"/>
                <w:sz w:val="20"/>
                <w:szCs w:val="20"/>
              </w:rPr>
            </w:pPr>
            <w:r>
              <w:rPr>
                <w:rFonts w:ascii="Muli" w:eastAsia="Muli" w:hAnsi="Muli" w:cs="Muli"/>
                <w:sz w:val="20"/>
                <w:szCs w:val="20"/>
              </w:rPr>
              <w:t xml:space="preserve">Class discussions are supported with suggested question scaffolds and sample answers (for example, DQ1L2 TE p. 20, DQ1L8 TE p. 66, </w:t>
            </w:r>
            <w:r>
              <w:rPr>
                <w:rFonts w:ascii="Muli" w:eastAsia="Muli" w:hAnsi="Muli" w:cs="Muli"/>
                <w:b/>
                <w:color w:val="FF126D"/>
                <w:sz w:val="20"/>
                <w:szCs w:val="20"/>
              </w:rPr>
              <w:t>DQ2L2 TE p. 108</w:t>
            </w:r>
            <w:r>
              <w:rPr>
                <w:rFonts w:ascii="Muli" w:eastAsia="Muli" w:hAnsi="Muli" w:cs="Muli"/>
                <w:sz w:val="20"/>
                <w:szCs w:val="20"/>
              </w:rPr>
              <w:t xml:space="preserve">, DQ2L4 TE p. 128, DQ4L1 TE p. 255) </w:t>
            </w:r>
          </w:p>
        </w:tc>
        <w:tc>
          <w:tcPr>
            <w:tcW w:w="4350" w:type="dxa"/>
            <w:tcMar>
              <w:top w:w="99" w:type="dxa"/>
              <w:left w:w="99" w:type="dxa"/>
              <w:bottom w:w="99" w:type="dxa"/>
              <w:right w:w="99" w:type="dxa"/>
            </w:tcMar>
          </w:tcPr>
          <w:p w14:paraId="0BD7D276" w14:textId="77777777" w:rsidR="00A67DBC" w:rsidRDefault="00A67DBC">
            <w:pPr>
              <w:pStyle w:val="normal0"/>
              <w:rPr>
                <w:rFonts w:ascii="Muli" w:eastAsia="Muli" w:hAnsi="Muli" w:cs="Muli"/>
                <w:b/>
                <w:color w:val="FF126D"/>
                <w:sz w:val="20"/>
                <w:szCs w:val="20"/>
              </w:rPr>
            </w:pPr>
            <w:r>
              <w:rPr>
                <w:rFonts w:ascii="Muli" w:eastAsia="Muli" w:hAnsi="Muli" w:cs="Muli"/>
                <w:b/>
                <w:noProof/>
                <w:color w:val="FF126D"/>
                <w:sz w:val="20"/>
                <w:szCs w:val="20"/>
              </w:rPr>
              <w:drawing>
                <wp:inline distT="0" distB="0" distL="0" distR="0" wp14:anchorId="69F558D2" wp14:editId="045D6C69">
                  <wp:extent cx="2628900" cy="2540000"/>
                  <wp:effectExtent l="0" t="0" r="12700" b="0"/>
                  <wp:docPr id="62" name="Picture 1" descr="Macintosh HD:Users:sargue:Downloads:DQ2L2 TE p. 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rgue:Downloads:DQ2L2 TE p. 10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8900" cy="2540000"/>
                          </a:xfrm>
                          <a:prstGeom prst="rect">
                            <a:avLst/>
                          </a:prstGeom>
                          <a:noFill/>
                          <a:ln>
                            <a:noFill/>
                          </a:ln>
                        </pic:spPr>
                      </pic:pic>
                    </a:graphicData>
                  </a:graphic>
                </wp:inline>
              </w:drawing>
            </w:r>
          </w:p>
          <w:p w14:paraId="71B1BA21" w14:textId="77777777" w:rsidR="00C56CD1" w:rsidRPr="00A67DBC" w:rsidRDefault="00A67DBC" w:rsidP="00A67DBC">
            <w:r>
              <w:rPr>
                <w:rFonts w:ascii="Muli" w:eastAsia="Muli" w:hAnsi="Muli" w:cs="Muli"/>
                <w:b/>
                <w:color w:val="FF126D"/>
                <w:sz w:val="20"/>
                <w:szCs w:val="20"/>
              </w:rPr>
              <w:t>DQ2L2 TE p. 108</w:t>
            </w:r>
          </w:p>
        </w:tc>
      </w:tr>
      <w:tr w:rsidR="00C56CD1" w14:paraId="2551D9AA" w14:textId="77777777" w:rsidTr="00A67DBC">
        <w:trPr>
          <w:trHeight w:val="5180"/>
        </w:trPr>
        <w:tc>
          <w:tcPr>
            <w:tcW w:w="9600" w:type="dxa"/>
            <w:tcMar>
              <w:top w:w="99" w:type="dxa"/>
              <w:left w:w="99" w:type="dxa"/>
              <w:bottom w:w="99" w:type="dxa"/>
              <w:right w:w="99" w:type="dxa"/>
            </w:tcMar>
          </w:tcPr>
          <w:p w14:paraId="56D5F200" w14:textId="77777777" w:rsidR="00C56CD1" w:rsidRDefault="00DA00BA">
            <w:pPr>
              <w:pStyle w:val="normal0"/>
              <w:numPr>
                <w:ilvl w:val="0"/>
                <w:numId w:val="2"/>
              </w:numPr>
              <w:ind w:right="150"/>
              <w:contextualSpacing/>
              <w:rPr>
                <w:rFonts w:ascii="Muli" w:eastAsia="Muli" w:hAnsi="Muli" w:cs="Muli"/>
                <w:sz w:val="20"/>
                <w:szCs w:val="20"/>
              </w:rPr>
            </w:pPr>
            <w:r>
              <w:rPr>
                <w:rFonts w:ascii="Muli" w:eastAsia="Muli" w:hAnsi="Muli" w:cs="Muli"/>
                <w:sz w:val="20"/>
                <w:szCs w:val="20"/>
              </w:rPr>
              <w:t>The Reflect of most lessons integrates assessment opportunities for students to reflect on what they have learned and how they used the three dimensions to grow their understanding of the module phenomena and problems (</w:t>
            </w:r>
            <w:r>
              <w:rPr>
                <w:rFonts w:ascii="Muli" w:eastAsia="Muli" w:hAnsi="Muli" w:cs="Muli"/>
                <w:b/>
                <w:color w:val="FF126D"/>
                <w:sz w:val="20"/>
                <w:szCs w:val="20"/>
              </w:rPr>
              <w:t>DQ1L3 TB p. 11</w:t>
            </w:r>
            <w:r>
              <w:rPr>
                <w:rFonts w:ascii="Muli" w:eastAsia="Muli" w:hAnsi="Muli" w:cs="Muli"/>
                <w:b/>
                <w:sz w:val="20"/>
                <w:szCs w:val="20"/>
              </w:rPr>
              <w:t>,</w:t>
            </w:r>
            <w:r>
              <w:rPr>
                <w:rFonts w:ascii="Muli" w:eastAsia="Muli" w:hAnsi="Muli" w:cs="Muli"/>
                <w:sz w:val="20"/>
                <w:szCs w:val="20"/>
              </w:rPr>
              <w:t xml:space="preserve"> DQ1L9 TB p. 44</w:t>
            </w:r>
            <w:r>
              <w:rPr>
                <w:rFonts w:ascii="Muli" w:eastAsia="Muli" w:hAnsi="Muli" w:cs="Muli"/>
                <w:sz w:val="20"/>
                <w:szCs w:val="20"/>
              </w:rPr>
              <w:t xml:space="preserve">, DQ2L4 TB p. 63, DQ4TB p. 73, DQ3L5 TB p. 114). </w:t>
            </w:r>
          </w:p>
        </w:tc>
        <w:tc>
          <w:tcPr>
            <w:tcW w:w="4350" w:type="dxa"/>
            <w:tcMar>
              <w:top w:w="99" w:type="dxa"/>
              <w:left w:w="99" w:type="dxa"/>
              <w:bottom w:w="99" w:type="dxa"/>
              <w:right w:w="99" w:type="dxa"/>
            </w:tcMar>
          </w:tcPr>
          <w:p w14:paraId="68B1BE5E" w14:textId="77777777" w:rsidR="00C56CD1" w:rsidRDefault="00DA00BA">
            <w:pPr>
              <w:pStyle w:val="normal0"/>
              <w:rPr>
                <w:rFonts w:ascii="Muli" w:eastAsia="Muli" w:hAnsi="Muli" w:cs="Muli"/>
                <w:b/>
                <w:sz w:val="20"/>
                <w:szCs w:val="20"/>
              </w:rPr>
            </w:pPr>
            <w:r>
              <w:rPr>
                <w:rFonts w:ascii="Muli" w:eastAsia="Muli" w:hAnsi="Muli" w:cs="Muli"/>
                <w:b/>
                <w:noProof/>
                <w:sz w:val="20"/>
                <w:szCs w:val="20"/>
              </w:rPr>
              <w:drawing>
                <wp:inline distT="114300" distB="114300" distL="114300" distR="114300" wp14:anchorId="0F14BA89" wp14:editId="2944CAB3">
                  <wp:extent cx="2576513" cy="1670999"/>
                  <wp:effectExtent l="0" t="0" r="0" b="0"/>
                  <wp:docPr id="1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9"/>
                          <a:srcRect/>
                          <a:stretch>
                            <a:fillRect/>
                          </a:stretch>
                        </pic:blipFill>
                        <pic:spPr>
                          <a:xfrm>
                            <a:off x="0" y="0"/>
                            <a:ext cx="2576513" cy="1670999"/>
                          </a:xfrm>
                          <a:prstGeom prst="rect">
                            <a:avLst/>
                          </a:prstGeom>
                          <a:ln/>
                        </pic:spPr>
                      </pic:pic>
                    </a:graphicData>
                  </a:graphic>
                </wp:inline>
              </w:drawing>
            </w:r>
          </w:p>
          <w:p w14:paraId="05E10A39" w14:textId="77777777" w:rsidR="00C56CD1" w:rsidRDefault="00DA00BA">
            <w:pPr>
              <w:pStyle w:val="normal0"/>
              <w:ind w:right="150"/>
              <w:rPr>
                <w:rFonts w:ascii="Muli" w:eastAsia="Muli" w:hAnsi="Muli" w:cs="Muli"/>
                <w:b/>
                <w:sz w:val="20"/>
                <w:szCs w:val="20"/>
              </w:rPr>
            </w:pPr>
            <w:r>
              <w:rPr>
                <w:rFonts w:ascii="Muli" w:eastAsia="Muli" w:hAnsi="Muli" w:cs="Muli"/>
                <w:b/>
                <w:color w:val="FF126D"/>
                <w:sz w:val="20"/>
                <w:szCs w:val="20"/>
              </w:rPr>
              <w:t>DQ1L3 TB p. 11,</w:t>
            </w:r>
          </w:p>
        </w:tc>
      </w:tr>
      <w:tr w:rsidR="00C56CD1" w14:paraId="63B912E0" w14:textId="77777777">
        <w:trPr>
          <w:trHeight w:val="680"/>
        </w:trPr>
        <w:tc>
          <w:tcPr>
            <w:tcW w:w="13950" w:type="dxa"/>
            <w:gridSpan w:val="2"/>
            <w:shd w:val="clear" w:color="auto" w:fill="D9D9D9"/>
            <w:tcMar>
              <w:top w:w="99" w:type="dxa"/>
              <w:left w:w="99" w:type="dxa"/>
              <w:bottom w:w="99" w:type="dxa"/>
              <w:right w:w="99" w:type="dxa"/>
            </w:tcMar>
          </w:tcPr>
          <w:p w14:paraId="501827FF" w14:textId="77777777" w:rsidR="00C56CD1" w:rsidRDefault="00DA00BA">
            <w:pPr>
              <w:pStyle w:val="normal0"/>
              <w:ind w:left="90" w:right="150"/>
              <w:rPr>
                <w:rFonts w:ascii="Muli" w:eastAsia="Muli" w:hAnsi="Muli" w:cs="Muli"/>
                <w:b/>
                <w:sz w:val="20"/>
                <w:szCs w:val="20"/>
              </w:rPr>
            </w:pPr>
            <w:r>
              <w:rPr>
                <w:rFonts w:ascii="Muli" w:eastAsia="Muli" w:hAnsi="Muli" w:cs="Muli"/>
                <w:b/>
                <w:sz w:val="20"/>
                <w:szCs w:val="20"/>
              </w:rPr>
              <w:lastRenderedPageBreak/>
              <w:t xml:space="preserve">SP3. Student Progress Over Time. </w:t>
            </w:r>
          </w:p>
          <w:p w14:paraId="49C3484A" w14:textId="77777777" w:rsidR="00C56CD1" w:rsidRDefault="00DA00BA">
            <w:pPr>
              <w:pStyle w:val="normal0"/>
              <w:ind w:left="90" w:right="150"/>
              <w:rPr>
                <w:rFonts w:ascii="Muli" w:eastAsia="Muli" w:hAnsi="Muli" w:cs="Muli"/>
                <w:b/>
                <w:sz w:val="20"/>
                <w:szCs w:val="20"/>
              </w:rPr>
            </w:pPr>
            <w:r>
              <w:rPr>
                <w:rFonts w:ascii="Muli" w:eastAsia="Muli" w:hAnsi="Muli" w:cs="Muli"/>
                <w:sz w:val="20"/>
                <w:szCs w:val="20"/>
              </w:rPr>
              <w:t>The module provides strong guidance for using formative and summative assessments to monitor student progress over time. Examples include support for: capturing student growth; interpreting results; adjusting instruction and planning for future instruction</w:t>
            </w:r>
            <w:r>
              <w:rPr>
                <w:rFonts w:ascii="Muli" w:eastAsia="Muli" w:hAnsi="Muli" w:cs="Muli"/>
                <w:sz w:val="20"/>
                <w:szCs w:val="20"/>
              </w:rPr>
              <w:t>; providing feedback to students; prompting students to consider what and how they’ve learned.</w:t>
            </w:r>
          </w:p>
        </w:tc>
      </w:tr>
      <w:tr w:rsidR="00C56CD1" w14:paraId="4A024DF3" w14:textId="77777777">
        <w:trPr>
          <w:trHeight w:val="1560"/>
        </w:trPr>
        <w:tc>
          <w:tcPr>
            <w:tcW w:w="13950" w:type="dxa"/>
            <w:gridSpan w:val="2"/>
            <w:tcMar>
              <w:top w:w="99" w:type="dxa"/>
              <w:left w:w="99" w:type="dxa"/>
              <w:bottom w:w="99" w:type="dxa"/>
              <w:right w:w="99" w:type="dxa"/>
            </w:tcMar>
          </w:tcPr>
          <w:p w14:paraId="4E160CF7" w14:textId="77777777" w:rsidR="00C56CD1" w:rsidRDefault="00DA00BA">
            <w:pPr>
              <w:pStyle w:val="normal0"/>
              <w:ind w:left="90" w:right="150"/>
              <w:rPr>
                <w:rFonts w:ascii="Muli" w:eastAsia="Muli" w:hAnsi="Muli" w:cs="Muli"/>
                <w:b/>
                <w:color w:val="FF126D"/>
                <w:sz w:val="20"/>
                <w:szCs w:val="20"/>
              </w:rPr>
            </w:pPr>
            <w:r>
              <w:rPr>
                <w:rFonts w:ascii="Muli" w:eastAsia="Muli" w:hAnsi="Muli" w:cs="Muli"/>
                <w:b/>
                <w:color w:val="FF126D"/>
                <w:sz w:val="20"/>
                <w:szCs w:val="20"/>
              </w:rPr>
              <w:t>Evidence</w:t>
            </w:r>
          </w:p>
          <w:p w14:paraId="3EFC47A8" w14:textId="77777777" w:rsidR="00C56CD1" w:rsidRDefault="00DA00BA">
            <w:pPr>
              <w:pStyle w:val="normal0"/>
              <w:numPr>
                <w:ilvl w:val="0"/>
                <w:numId w:val="11"/>
              </w:numPr>
              <w:ind w:right="150"/>
              <w:contextualSpacing/>
              <w:rPr>
                <w:rFonts w:ascii="Muli" w:eastAsia="Muli" w:hAnsi="Muli" w:cs="Muli"/>
                <w:sz w:val="20"/>
                <w:szCs w:val="20"/>
              </w:rPr>
            </w:pPr>
            <w:r>
              <w:rPr>
                <w:rFonts w:ascii="Muli" w:eastAsia="Muli" w:hAnsi="Muli" w:cs="Muli"/>
                <w:sz w:val="20"/>
                <w:szCs w:val="20"/>
              </w:rPr>
              <w:t>Teachers can elect to administer the Pre-Explorations, Benchmark Assessment, and Multiple Choice assessment digitally or in print. As answers are tagge</w:t>
            </w:r>
            <w:r>
              <w:rPr>
                <w:rFonts w:ascii="Muli" w:eastAsia="Muli" w:hAnsi="Muli" w:cs="Muli"/>
                <w:sz w:val="20"/>
                <w:szCs w:val="20"/>
              </w:rPr>
              <w:t>d to specific dimensions, if administered digitally, teachers will be able to track student growth in level of attainment of the dimensions over time and tailor instruction accordingly. Teachers can feedback to students digitally. Teachers can opt to add t</w:t>
            </w:r>
            <w:r>
              <w:rPr>
                <w:rFonts w:ascii="Muli" w:eastAsia="Muli" w:hAnsi="Muli" w:cs="Muli"/>
                <w:sz w:val="20"/>
                <w:szCs w:val="20"/>
              </w:rPr>
              <w:t>he scores manually for all non-digital assessment tasks.</w:t>
            </w:r>
          </w:p>
          <w:p w14:paraId="6F55CF65" w14:textId="77777777" w:rsidR="00C56CD1" w:rsidRDefault="00C56CD1">
            <w:pPr>
              <w:pStyle w:val="normal0"/>
              <w:ind w:right="150"/>
              <w:rPr>
                <w:rFonts w:ascii="Muli" w:eastAsia="Muli" w:hAnsi="Muli" w:cs="Muli"/>
                <w:b/>
                <w:sz w:val="20"/>
                <w:szCs w:val="20"/>
              </w:rPr>
            </w:pPr>
          </w:p>
        </w:tc>
      </w:tr>
      <w:tr w:rsidR="00C56CD1" w14:paraId="689EB4BE" w14:textId="77777777">
        <w:trPr>
          <w:trHeight w:val="1880"/>
        </w:trPr>
        <w:tc>
          <w:tcPr>
            <w:tcW w:w="9600" w:type="dxa"/>
            <w:tcMar>
              <w:top w:w="99" w:type="dxa"/>
              <w:left w:w="99" w:type="dxa"/>
              <w:bottom w:w="99" w:type="dxa"/>
              <w:right w:w="99" w:type="dxa"/>
            </w:tcMar>
          </w:tcPr>
          <w:p w14:paraId="557551A5" w14:textId="77777777" w:rsidR="00C56CD1" w:rsidRDefault="00DA00BA">
            <w:pPr>
              <w:pStyle w:val="normal0"/>
              <w:numPr>
                <w:ilvl w:val="0"/>
                <w:numId w:val="11"/>
              </w:numPr>
              <w:ind w:right="150"/>
              <w:contextualSpacing/>
              <w:rPr>
                <w:rFonts w:ascii="Muli" w:eastAsia="Muli" w:hAnsi="Muli" w:cs="Muli"/>
                <w:sz w:val="20"/>
                <w:szCs w:val="20"/>
              </w:rPr>
            </w:pPr>
            <w:r>
              <w:rPr>
                <w:rFonts w:ascii="Muli" w:eastAsia="Muli" w:hAnsi="Muli" w:cs="Muli"/>
                <w:sz w:val="20"/>
                <w:szCs w:val="20"/>
              </w:rPr>
              <w:t>The downloadable Progress Trackers</w:t>
            </w:r>
            <w:r>
              <w:rPr>
                <w:rFonts w:ascii="Muli" w:eastAsia="Muli" w:hAnsi="Muli" w:cs="Muli"/>
                <w:sz w:val="20"/>
                <w:szCs w:val="20"/>
              </w:rPr>
              <w:t xml:space="preserve"> support teachers to track students’ mastery of their misconceptions assessed in the Pre-Explorations and the results of Formative Assessment of the three dimensions across the DQs. Guidance for teachers on how to adjust instruction for students who need m</w:t>
            </w:r>
            <w:r>
              <w:rPr>
                <w:rFonts w:ascii="Muli" w:eastAsia="Muli" w:hAnsi="Muli" w:cs="Muli"/>
                <w:sz w:val="20"/>
                <w:szCs w:val="20"/>
              </w:rPr>
              <w:t xml:space="preserve">ore support to dispel their misconceptions is provided at point of use in the instructions (DQ1L5 TE p. 42, DQ2L3 TE p. 117, </w:t>
            </w:r>
            <w:r>
              <w:rPr>
                <w:rFonts w:ascii="Muli" w:eastAsia="Muli" w:hAnsi="Muli" w:cs="Muli"/>
                <w:b/>
                <w:color w:val="FF126D"/>
                <w:sz w:val="20"/>
                <w:szCs w:val="20"/>
              </w:rPr>
              <w:t>DQ2L9 TE p. 167</w:t>
            </w:r>
            <w:r>
              <w:rPr>
                <w:rFonts w:ascii="Muli" w:eastAsia="Muli" w:hAnsi="Muli" w:cs="Muli"/>
                <w:sz w:val="20"/>
                <w:szCs w:val="20"/>
              </w:rPr>
              <w:t xml:space="preserve">, DQ3L7 TE p. 234). </w:t>
            </w:r>
          </w:p>
        </w:tc>
        <w:tc>
          <w:tcPr>
            <w:tcW w:w="4350" w:type="dxa"/>
            <w:tcMar>
              <w:top w:w="99" w:type="dxa"/>
              <w:left w:w="99" w:type="dxa"/>
              <w:bottom w:w="99" w:type="dxa"/>
              <w:right w:w="99" w:type="dxa"/>
            </w:tcMar>
          </w:tcPr>
          <w:p w14:paraId="10CA1623" w14:textId="77777777" w:rsidR="00C56CD1" w:rsidRDefault="00DA00BA">
            <w:pPr>
              <w:pStyle w:val="normal0"/>
              <w:ind w:left="180" w:hanging="180"/>
              <w:rPr>
                <w:rFonts w:ascii="Muli" w:eastAsia="Muli" w:hAnsi="Muli" w:cs="Muli"/>
                <w:b/>
                <w:sz w:val="20"/>
                <w:szCs w:val="20"/>
              </w:rPr>
            </w:pPr>
            <w:r>
              <w:rPr>
                <w:rFonts w:ascii="Muli" w:eastAsia="Muli" w:hAnsi="Muli" w:cs="Muli"/>
                <w:b/>
                <w:noProof/>
                <w:sz w:val="20"/>
                <w:szCs w:val="20"/>
              </w:rPr>
              <w:drawing>
                <wp:inline distT="114300" distB="114300" distL="114300" distR="114300" wp14:anchorId="4F20FFF4" wp14:editId="4008260E">
                  <wp:extent cx="2543175" cy="1571625"/>
                  <wp:effectExtent l="12700" t="12700" r="12700" b="12700"/>
                  <wp:docPr id="4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
                          <a:srcRect r="3260"/>
                          <a:stretch>
                            <a:fillRect/>
                          </a:stretch>
                        </pic:blipFill>
                        <pic:spPr>
                          <a:xfrm>
                            <a:off x="0" y="0"/>
                            <a:ext cx="2543175" cy="1571625"/>
                          </a:xfrm>
                          <a:prstGeom prst="rect">
                            <a:avLst/>
                          </a:prstGeom>
                          <a:ln w="12700">
                            <a:solidFill>
                              <a:srgbClr val="CCCCCC"/>
                            </a:solidFill>
                            <a:prstDash val="solid"/>
                          </a:ln>
                        </pic:spPr>
                      </pic:pic>
                    </a:graphicData>
                  </a:graphic>
                </wp:inline>
              </w:drawing>
            </w:r>
          </w:p>
          <w:p w14:paraId="33C00579" w14:textId="77777777" w:rsidR="00C56CD1" w:rsidRDefault="00DA00BA">
            <w:pPr>
              <w:pStyle w:val="normal0"/>
              <w:ind w:left="180" w:right="150" w:hanging="180"/>
              <w:rPr>
                <w:rFonts w:ascii="Muli" w:eastAsia="Muli" w:hAnsi="Muli" w:cs="Muli"/>
                <w:b/>
                <w:sz w:val="20"/>
                <w:szCs w:val="20"/>
              </w:rPr>
            </w:pPr>
            <w:r>
              <w:rPr>
                <w:rFonts w:ascii="Muli" w:eastAsia="Muli" w:hAnsi="Muli" w:cs="Muli"/>
                <w:b/>
                <w:color w:val="FF126D"/>
                <w:sz w:val="20"/>
                <w:szCs w:val="20"/>
              </w:rPr>
              <w:t>DQ2L9 TE p. 167</w:t>
            </w:r>
          </w:p>
        </w:tc>
      </w:tr>
      <w:tr w:rsidR="00C56CD1" w14:paraId="2ABA0A80" w14:textId="77777777">
        <w:trPr>
          <w:trHeight w:val="920"/>
        </w:trPr>
        <w:tc>
          <w:tcPr>
            <w:tcW w:w="13950" w:type="dxa"/>
            <w:gridSpan w:val="2"/>
            <w:shd w:val="clear" w:color="auto" w:fill="D9D9D9"/>
            <w:tcMar>
              <w:top w:w="99" w:type="dxa"/>
              <w:left w:w="99" w:type="dxa"/>
              <w:bottom w:w="99" w:type="dxa"/>
              <w:right w:w="99" w:type="dxa"/>
            </w:tcMar>
          </w:tcPr>
          <w:p w14:paraId="2B88C94C" w14:textId="77777777" w:rsidR="00C56CD1" w:rsidRDefault="00DA00BA">
            <w:pPr>
              <w:pStyle w:val="normal0"/>
              <w:ind w:left="90" w:right="150"/>
              <w:rPr>
                <w:rFonts w:ascii="Muli" w:eastAsia="Muli" w:hAnsi="Muli" w:cs="Muli"/>
                <w:b/>
                <w:sz w:val="20"/>
                <w:szCs w:val="20"/>
              </w:rPr>
            </w:pPr>
            <w:r>
              <w:rPr>
                <w:rFonts w:ascii="Muli" w:eastAsia="Muli" w:hAnsi="Muli" w:cs="Muli"/>
                <w:b/>
                <w:sz w:val="20"/>
                <w:szCs w:val="20"/>
              </w:rPr>
              <w:t>SP4. Equitable Access.</w:t>
            </w:r>
          </w:p>
          <w:p w14:paraId="399F2E25" w14:textId="77777777" w:rsidR="00C56CD1" w:rsidRDefault="00DA00BA">
            <w:pPr>
              <w:pStyle w:val="normal0"/>
              <w:ind w:left="90" w:right="150"/>
              <w:rPr>
                <w:rFonts w:ascii="Muli" w:eastAsia="Muli" w:hAnsi="Muli" w:cs="Muli"/>
                <w:b/>
                <w:sz w:val="20"/>
                <w:szCs w:val="20"/>
              </w:rPr>
            </w:pPr>
            <w:r>
              <w:rPr>
                <w:rFonts w:ascii="Muli" w:eastAsia="Muli" w:hAnsi="Muli" w:cs="Muli"/>
                <w:sz w:val="20"/>
                <w:szCs w:val="20"/>
              </w:rPr>
              <w:t>The module provides strong support and strategies for ensuring that assessments are accessible to students from diverse backgrounds and with diverse learning needs.</w:t>
            </w:r>
          </w:p>
        </w:tc>
      </w:tr>
      <w:tr w:rsidR="00C56CD1" w14:paraId="638219D2" w14:textId="77777777">
        <w:trPr>
          <w:trHeight w:val="1760"/>
        </w:trPr>
        <w:tc>
          <w:tcPr>
            <w:tcW w:w="13950" w:type="dxa"/>
            <w:gridSpan w:val="2"/>
            <w:tcMar>
              <w:top w:w="99" w:type="dxa"/>
              <w:left w:w="99" w:type="dxa"/>
              <w:bottom w:w="99" w:type="dxa"/>
              <w:right w:w="99" w:type="dxa"/>
            </w:tcMar>
          </w:tcPr>
          <w:p w14:paraId="3E3187CC" w14:textId="77777777" w:rsidR="00C56CD1" w:rsidRDefault="00DA00BA">
            <w:pPr>
              <w:pStyle w:val="normal0"/>
              <w:ind w:left="90" w:right="150"/>
              <w:rPr>
                <w:rFonts w:ascii="Muli" w:eastAsia="Muli" w:hAnsi="Muli" w:cs="Muli"/>
                <w:color w:val="FF126D"/>
                <w:sz w:val="20"/>
                <w:szCs w:val="20"/>
              </w:rPr>
            </w:pPr>
            <w:r>
              <w:rPr>
                <w:rFonts w:ascii="Muli" w:eastAsia="Muli" w:hAnsi="Muli" w:cs="Muli"/>
                <w:b/>
                <w:color w:val="FF126D"/>
                <w:sz w:val="20"/>
                <w:szCs w:val="20"/>
              </w:rPr>
              <w:t>Evidence</w:t>
            </w:r>
          </w:p>
          <w:p w14:paraId="0D3378E6" w14:textId="77777777" w:rsidR="00C56CD1" w:rsidRDefault="00DA00BA">
            <w:pPr>
              <w:pStyle w:val="normal0"/>
              <w:numPr>
                <w:ilvl w:val="0"/>
                <w:numId w:val="20"/>
              </w:numPr>
              <w:ind w:right="150"/>
              <w:contextualSpacing/>
              <w:rPr>
                <w:rFonts w:ascii="Muli" w:eastAsia="Muli" w:hAnsi="Muli" w:cs="Muli"/>
                <w:sz w:val="20"/>
                <w:szCs w:val="20"/>
              </w:rPr>
            </w:pPr>
            <w:r>
              <w:rPr>
                <w:rFonts w:ascii="Muli" w:eastAsia="Muli" w:hAnsi="Muli" w:cs="Muli"/>
                <w:sz w:val="20"/>
                <w:szCs w:val="20"/>
              </w:rPr>
              <w:t>Assessments of the three dimensions are multimodal and include multiple choice, w</w:t>
            </w:r>
            <w:r>
              <w:rPr>
                <w:rFonts w:ascii="Muli" w:eastAsia="Muli" w:hAnsi="Muli" w:cs="Muli"/>
                <w:sz w:val="20"/>
                <w:szCs w:val="20"/>
              </w:rPr>
              <w:t>riting, drawing, physical models, and oral presentations, allowing all students to access a range of assessment types to suit their learning style and/or reading level.</w:t>
            </w:r>
          </w:p>
          <w:p w14:paraId="0AB1D697" w14:textId="77777777" w:rsidR="00C56CD1" w:rsidRDefault="00DA00BA">
            <w:pPr>
              <w:pStyle w:val="normal0"/>
              <w:numPr>
                <w:ilvl w:val="0"/>
                <w:numId w:val="20"/>
              </w:numPr>
              <w:ind w:right="150"/>
              <w:contextualSpacing/>
              <w:rPr>
                <w:rFonts w:ascii="Muli" w:eastAsia="Muli" w:hAnsi="Muli" w:cs="Muli"/>
                <w:sz w:val="20"/>
                <w:szCs w:val="20"/>
              </w:rPr>
            </w:pPr>
            <w:r>
              <w:rPr>
                <w:rFonts w:ascii="Muli" w:eastAsia="Muli" w:hAnsi="Muli" w:cs="Muli"/>
                <w:sz w:val="20"/>
                <w:szCs w:val="20"/>
              </w:rPr>
              <w:t>The digital Twig Book and digital assessment items (Benchmark, Multiple Choice, Rubrics</w:t>
            </w:r>
            <w:r>
              <w:rPr>
                <w:rFonts w:ascii="Muli" w:eastAsia="Muli" w:hAnsi="Muli" w:cs="Muli"/>
                <w:sz w:val="20"/>
                <w:szCs w:val="20"/>
              </w:rPr>
              <w:t>) have a text to speech function allowing students of all reading levels to access the assessments.</w:t>
            </w:r>
          </w:p>
        </w:tc>
      </w:tr>
      <w:tr w:rsidR="00C56CD1" w14:paraId="36D999FE" w14:textId="77777777">
        <w:trPr>
          <w:trHeight w:val="1440"/>
        </w:trPr>
        <w:tc>
          <w:tcPr>
            <w:tcW w:w="9600" w:type="dxa"/>
            <w:tcMar>
              <w:top w:w="99" w:type="dxa"/>
              <w:left w:w="99" w:type="dxa"/>
              <w:bottom w:w="99" w:type="dxa"/>
              <w:right w:w="99" w:type="dxa"/>
            </w:tcMar>
          </w:tcPr>
          <w:p w14:paraId="11258B9F" w14:textId="77777777" w:rsidR="00C56CD1" w:rsidRDefault="00DA00BA">
            <w:pPr>
              <w:pStyle w:val="normal0"/>
              <w:numPr>
                <w:ilvl w:val="0"/>
                <w:numId w:val="20"/>
              </w:numPr>
              <w:ind w:right="150"/>
              <w:contextualSpacing/>
              <w:rPr>
                <w:rFonts w:ascii="Muli" w:eastAsia="Muli" w:hAnsi="Muli" w:cs="Muli"/>
                <w:sz w:val="20"/>
                <w:szCs w:val="20"/>
              </w:rPr>
            </w:pPr>
            <w:r>
              <w:rPr>
                <w:rFonts w:ascii="Muli" w:eastAsia="Muli" w:hAnsi="Muli" w:cs="Muli"/>
                <w:sz w:val="20"/>
                <w:szCs w:val="20"/>
              </w:rPr>
              <w:lastRenderedPageBreak/>
              <w:t>The rubrics for the Performance Tasks (</w:t>
            </w:r>
            <w:r>
              <w:rPr>
                <w:rFonts w:ascii="Muli" w:eastAsia="Muli" w:hAnsi="Muli" w:cs="Muli"/>
                <w:b/>
                <w:color w:val="FF126D"/>
                <w:sz w:val="20"/>
                <w:szCs w:val="20"/>
              </w:rPr>
              <w:t>DQ1L10 TE pp. 80–86</w:t>
            </w:r>
            <w:r>
              <w:rPr>
                <w:rFonts w:ascii="Muli" w:eastAsia="Muli" w:hAnsi="Muli" w:cs="Muli"/>
                <w:sz w:val="20"/>
                <w:szCs w:val="20"/>
              </w:rPr>
              <w:t>, DQ2L10 TE pp. 170–175, DQ4L3–5 TE pp. 266–280) and Benchmark Assessment (DQ3 TE pp. 236–243 and</w:t>
            </w:r>
            <w:r>
              <w:rPr>
                <w:rFonts w:ascii="Muli" w:eastAsia="Muli" w:hAnsi="Muli" w:cs="Muli"/>
                <w:sz w:val="20"/>
                <w:szCs w:val="20"/>
              </w:rPr>
              <w:t xml:space="preserve"> online) have four levels—Emerging, Developing, Proficient, and Advanced—allowing all students to demonstrate their current level of attainment. </w:t>
            </w:r>
          </w:p>
          <w:p w14:paraId="686A0FAD" w14:textId="77777777" w:rsidR="00C56CD1" w:rsidRDefault="00C56CD1">
            <w:pPr>
              <w:pStyle w:val="normal0"/>
              <w:ind w:left="90" w:right="150"/>
              <w:rPr>
                <w:rFonts w:ascii="Muli" w:eastAsia="Muli" w:hAnsi="Muli" w:cs="Muli"/>
                <w:b/>
                <w:color w:val="FF126D"/>
                <w:sz w:val="20"/>
                <w:szCs w:val="20"/>
              </w:rPr>
            </w:pPr>
          </w:p>
        </w:tc>
        <w:tc>
          <w:tcPr>
            <w:tcW w:w="4350" w:type="dxa"/>
            <w:tcMar>
              <w:top w:w="99" w:type="dxa"/>
              <w:left w:w="99" w:type="dxa"/>
              <w:bottom w:w="99" w:type="dxa"/>
              <w:right w:w="99" w:type="dxa"/>
            </w:tcMar>
          </w:tcPr>
          <w:p w14:paraId="47E85389" w14:textId="77777777" w:rsidR="00C56CD1" w:rsidRDefault="00DA00BA">
            <w:pPr>
              <w:pStyle w:val="normal0"/>
              <w:ind w:left="90"/>
              <w:rPr>
                <w:rFonts w:ascii="Muli" w:eastAsia="Muli" w:hAnsi="Muli" w:cs="Muli"/>
                <w:b/>
                <w:sz w:val="20"/>
                <w:szCs w:val="20"/>
              </w:rPr>
            </w:pPr>
            <w:r>
              <w:rPr>
                <w:rFonts w:ascii="Muli" w:eastAsia="Muli" w:hAnsi="Muli" w:cs="Muli"/>
                <w:b/>
                <w:noProof/>
                <w:sz w:val="20"/>
                <w:szCs w:val="20"/>
              </w:rPr>
              <w:drawing>
                <wp:inline distT="114300" distB="114300" distL="114300" distR="114300" wp14:anchorId="13A8CEF1" wp14:editId="4E179D96">
                  <wp:extent cx="2347913" cy="2798780"/>
                  <wp:effectExtent l="12700" t="12700" r="12700" b="12700"/>
                  <wp:docPr id="4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3"/>
                          <a:srcRect/>
                          <a:stretch>
                            <a:fillRect/>
                          </a:stretch>
                        </pic:blipFill>
                        <pic:spPr>
                          <a:xfrm>
                            <a:off x="0" y="0"/>
                            <a:ext cx="2347913" cy="2798780"/>
                          </a:xfrm>
                          <a:prstGeom prst="rect">
                            <a:avLst/>
                          </a:prstGeom>
                          <a:ln w="12700">
                            <a:solidFill>
                              <a:srgbClr val="B7B7B7"/>
                            </a:solidFill>
                            <a:prstDash val="solid"/>
                          </a:ln>
                        </pic:spPr>
                      </pic:pic>
                    </a:graphicData>
                  </a:graphic>
                </wp:inline>
              </w:drawing>
            </w:r>
          </w:p>
        </w:tc>
      </w:tr>
      <w:tr w:rsidR="00C56CD1" w14:paraId="7126C7A9" w14:textId="77777777">
        <w:trPr>
          <w:trHeight w:val="1440"/>
        </w:trPr>
        <w:tc>
          <w:tcPr>
            <w:tcW w:w="9600" w:type="dxa"/>
            <w:tcMar>
              <w:top w:w="99" w:type="dxa"/>
              <w:left w:w="99" w:type="dxa"/>
              <w:bottom w:w="99" w:type="dxa"/>
              <w:right w:w="99" w:type="dxa"/>
            </w:tcMar>
          </w:tcPr>
          <w:p w14:paraId="54F57C57" w14:textId="77777777" w:rsidR="00C56CD1" w:rsidRDefault="00DA00BA">
            <w:pPr>
              <w:pStyle w:val="normal0"/>
              <w:numPr>
                <w:ilvl w:val="0"/>
                <w:numId w:val="20"/>
              </w:numPr>
              <w:ind w:right="150"/>
              <w:contextualSpacing/>
              <w:rPr>
                <w:rFonts w:ascii="Muli" w:eastAsia="Muli" w:hAnsi="Muli" w:cs="Muli"/>
                <w:sz w:val="20"/>
                <w:szCs w:val="20"/>
              </w:rPr>
            </w:pPr>
            <w:r>
              <w:rPr>
                <w:rFonts w:ascii="Muli" w:eastAsia="Muli" w:hAnsi="Muli" w:cs="Muli"/>
                <w:sz w:val="20"/>
                <w:szCs w:val="20"/>
              </w:rPr>
              <w:t xml:space="preserve">The </w:t>
            </w:r>
            <w:r>
              <w:rPr>
                <w:rFonts w:ascii="Muli" w:eastAsia="Muli" w:hAnsi="Muli" w:cs="Muli"/>
                <w:b/>
                <w:color w:val="FF126D"/>
                <w:sz w:val="20"/>
                <w:szCs w:val="20"/>
              </w:rPr>
              <w:t xml:space="preserve">Multiple Choice Assessment Part C (DQ4 digital) </w:t>
            </w:r>
            <w:r>
              <w:rPr>
                <w:rFonts w:ascii="Muli" w:eastAsia="Muli" w:hAnsi="Muli" w:cs="Muli"/>
                <w:sz w:val="20"/>
                <w:szCs w:val="20"/>
              </w:rPr>
              <w:t>(DQ4) contains questions targeting different DOK levels, with an extended section available to further challenge GATE students.</w:t>
            </w:r>
          </w:p>
        </w:tc>
        <w:tc>
          <w:tcPr>
            <w:tcW w:w="4350" w:type="dxa"/>
            <w:tcMar>
              <w:top w:w="99" w:type="dxa"/>
              <w:left w:w="99" w:type="dxa"/>
              <w:bottom w:w="99" w:type="dxa"/>
              <w:right w:w="99" w:type="dxa"/>
            </w:tcMar>
          </w:tcPr>
          <w:p w14:paraId="68AFF1FD" w14:textId="77777777" w:rsidR="00C56CD1" w:rsidRDefault="00DA00BA">
            <w:pPr>
              <w:pStyle w:val="normal0"/>
              <w:rPr>
                <w:rFonts w:ascii="Muli" w:eastAsia="Muli" w:hAnsi="Muli" w:cs="Muli"/>
                <w:b/>
                <w:sz w:val="20"/>
                <w:szCs w:val="20"/>
              </w:rPr>
            </w:pPr>
            <w:r>
              <w:rPr>
                <w:rFonts w:ascii="Muli" w:eastAsia="Muli" w:hAnsi="Muli" w:cs="Muli"/>
                <w:b/>
                <w:noProof/>
                <w:sz w:val="20"/>
                <w:szCs w:val="20"/>
              </w:rPr>
              <w:drawing>
                <wp:inline distT="114300" distB="114300" distL="114300" distR="114300" wp14:anchorId="7B055982" wp14:editId="1747BE26">
                  <wp:extent cx="2414588" cy="2843264"/>
                  <wp:effectExtent l="12700" t="12700" r="12700" b="12700"/>
                  <wp:docPr id="25"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34"/>
                          <a:srcRect/>
                          <a:stretch>
                            <a:fillRect/>
                          </a:stretch>
                        </pic:blipFill>
                        <pic:spPr>
                          <a:xfrm>
                            <a:off x="0" y="0"/>
                            <a:ext cx="2414588" cy="2843264"/>
                          </a:xfrm>
                          <a:prstGeom prst="rect">
                            <a:avLst/>
                          </a:prstGeom>
                          <a:ln w="12700">
                            <a:solidFill>
                              <a:srgbClr val="CCCCCC"/>
                            </a:solidFill>
                            <a:prstDash val="solid"/>
                          </a:ln>
                        </pic:spPr>
                      </pic:pic>
                    </a:graphicData>
                  </a:graphic>
                </wp:inline>
              </w:drawing>
            </w:r>
          </w:p>
          <w:p w14:paraId="40E375B0" w14:textId="77777777" w:rsidR="00C56CD1" w:rsidRDefault="00DA00BA">
            <w:pPr>
              <w:pStyle w:val="normal0"/>
              <w:ind w:right="150"/>
              <w:rPr>
                <w:rFonts w:ascii="Muli" w:eastAsia="Muli" w:hAnsi="Muli" w:cs="Muli"/>
                <w:b/>
                <w:sz w:val="20"/>
                <w:szCs w:val="20"/>
              </w:rPr>
            </w:pPr>
            <w:r>
              <w:rPr>
                <w:rFonts w:ascii="Muli" w:eastAsia="Muli" w:hAnsi="Muli" w:cs="Muli"/>
                <w:b/>
                <w:color w:val="FF126D"/>
                <w:sz w:val="20"/>
                <w:szCs w:val="20"/>
              </w:rPr>
              <w:t>Multiple Choice Assessment Part C (DQ4 digital)</w:t>
            </w:r>
          </w:p>
        </w:tc>
      </w:tr>
      <w:tr w:rsidR="00C56CD1" w14:paraId="103F0F31" w14:textId="77777777">
        <w:trPr>
          <w:trHeight w:val="1440"/>
        </w:trPr>
        <w:tc>
          <w:tcPr>
            <w:tcW w:w="9600" w:type="dxa"/>
            <w:tcMar>
              <w:top w:w="99" w:type="dxa"/>
              <w:left w:w="99" w:type="dxa"/>
              <w:bottom w:w="99" w:type="dxa"/>
              <w:right w:w="99" w:type="dxa"/>
            </w:tcMar>
          </w:tcPr>
          <w:p w14:paraId="77C69FB8" w14:textId="77777777" w:rsidR="00C56CD1" w:rsidRDefault="00DA00BA">
            <w:pPr>
              <w:pStyle w:val="normal0"/>
              <w:numPr>
                <w:ilvl w:val="0"/>
                <w:numId w:val="20"/>
              </w:numPr>
              <w:ind w:right="150"/>
              <w:contextualSpacing/>
              <w:rPr>
                <w:rFonts w:ascii="Muli" w:eastAsia="Muli" w:hAnsi="Muli" w:cs="Muli"/>
                <w:sz w:val="20"/>
                <w:szCs w:val="20"/>
              </w:rPr>
            </w:pPr>
            <w:r>
              <w:rPr>
                <w:rFonts w:ascii="Muli" w:eastAsia="Muli" w:hAnsi="Muli" w:cs="Muli"/>
                <w:sz w:val="20"/>
                <w:szCs w:val="20"/>
              </w:rPr>
              <w:lastRenderedPageBreak/>
              <w:t>Writing, Reading, Listening, and Speaking domain tasks dedicated to assessing</w:t>
            </w:r>
            <w:r>
              <w:rPr>
                <w:rFonts w:ascii="Muli" w:eastAsia="Muli" w:hAnsi="Muli" w:cs="Muli"/>
                <w:sz w:val="20"/>
                <w:szCs w:val="20"/>
              </w:rPr>
              <w:t xml:space="preserve"> science-relevant English language development are integrated into the core instructional resources (</w:t>
            </w:r>
            <w:r>
              <w:rPr>
                <w:rFonts w:ascii="Muli" w:eastAsia="Muli" w:hAnsi="Muli" w:cs="Muli"/>
                <w:b/>
                <w:color w:val="FF126D"/>
                <w:sz w:val="20"/>
                <w:szCs w:val="20"/>
              </w:rPr>
              <w:t xml:space="preserve">DQ1L7 TE p. 63, </w:t>
            </w:r>
            <w:r>
              <w:rPr>
                <w:rFonts w:ascii="Muli" w:eastAsia="Muli" w:hAnsi="Muli" w:cs="Muli"/>
                <w:sz w:val="20"/>
                <w:szCs w:val="20"/>
              </w:rPr>
              <w:t>DQ3L3 TE p. 209) and the On-Level reader lessons</w:t>
            </w:r>
            <w:r>
              <w:rPr>
                <w:rFonts w:ascii="Muli" w:eastAsia="Muli" w:hAnsi="Muli" w:cs="Muli"/>
                <w:b/>
                <w:color w:val="FF126D"/>
                <w:sz w:val="20"/>
                <w:szCs w:val="20"/>
              </w:rPr>
              <w:t xml:space="preserve"> (Chapter 3 Second Read TE p. 299)</w:t>
            </w:r>
            <w:r>
              <w:rPr>
                <w:rFonts w:ascii="Muli" w:eastAsia="Muli" w:hAnsi="Muli" w:cs="Muli"/>
                <w:sz w:val="20"/>
                <w:szCs w:val="20"/>
              </w:rPr>
              <w:t>.</w:t>
            </w:r>
          </w:p>
        </w:tc>
        <w:tc>
          <w:tcPr>
            <w:tcW w:w="4350" w:type="dxa"/>
            <w:tcMar>
              <w:top w:w="99" w:type="dxa"/>
              <w:left w:w="99" w:type="dxa"/>
              <w:bottom w:w="99" w:type="dxa"/>
              <w:right w:w="99" w:type="dxa"/>
            </w:tcMar>
          </w:tcPr>
          <w:p w14:paraId="19EA4377" w14:textId="77777777" w:rsidR="00C56CD1" w:rsidRDefault="00DA00BA">
            <w:pPr>
              <w:pStyle w:val="normal0"/>
              <w:ind w:right="150"/>
              <w:rPr>
                <w:rFonts w:ascii="Muli" w:eastAsia="Muli" w:hAnsi="Muli" w:cs="Muli"/>
                <w:b/>
                <w:sz w:val="20"/>
                <w:szCs w:val="20"/>
              </w:rPr>
            </w:pPr>
            <w:r>
              <w:rPr>
                <w:rFonts w:ascii="Muli" w:eastAsia="Muli" w:hAnsi="Muli" w:cs="Muli"/>
                <w:b/>
                <w:noProof/>
                <w:sz w:val="20"/>
                <w:szCs w:val="20"/>
              </w:rPr>
              <w:drawing>
                <wp:inline distT="114300" distB="114300" distL="114300" distR="114300" wp14:anchorId="36567D44" wp14:editId="2F105BCB">
                  <wp:extent cx="2490788" cy="2608107"/>
                  <wp:effectExtent l="12700" t="12700" r="12700" b="12700"/>
                  <wp:docPr id="5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5"/>
                          <a:srcRect/>
                          <a:stretch>
                            <a:fillRect/>
                          </a:stretch>
                        </pic:blipFill>
                        <pic:spPr>
                          <a:xfrm>
                            <a:off x="0" y="0"/>
                            <a:ext cx="2490788" cy="2608107"/>
                          </a:xfrm>
                          <a:prstGeom prst="rect">
                            <a:avLst/>
                          </a:prstGeom>
                          <a:ln w="12700">
                            <a:solidFill>
                              <a:srgbClr val="D9D9D9"/>
                            </a:solidFill>
                            <a:prstDash val="solid"/>
                          </a:ln>
                        </pic:spPr>
                      </pic:pic>
                    </a:graphicData>
                  </a:graphic>
                </wp:inline>
              </w:drawing>
            </w:r>
          </w:p>
          <w:p w14:paraId="4B2AFC2E" w14:textId="77777777" w:rsidR="00C56CD1" w:rsidRDefault="00DA00BA">
            <w:pPr>
              <w:pStyle w:val="normal0"/>
              <w:ind w:right="150"/>
              <w:rPr>
                <w:rFonts w:ascii="Muli" w:eastAsia="Muli" w:hAnsi="Muli" w:cs="Muli"/>
                <w:b/>
                <w:color w:val="FF126D"/>
                <w:sz w:val="20"/>
                <w:szCs w:val="20"/>
              </w:rPr>
            </w:pPr>
            <w:r>
              <w:rPr>
                <w:rFonts w:ascii="Muli" w:eastAsia="Muli" w:hAnsi="Muli" w:cs="Muli"/>
                <w:b/>
                <w:color w:val="FF126D"/>
                <w:sz w:val="20"/>
                <w:szCs w:val="20"/>
              </w:rPr>
              <w:t>DQ1L7 TE p. 63</w:t>
            </w:r>
          </w:p>
          <w:p w14:paraId="4B194348" w14:textId="77777777" w:rsidR="00C56CD1" w:rsidRDefault="00DA00BA">
            <w:pPr>
              <w:pStyle w:val="normal0"/>
              <w:ind w:right="15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219E362B" wp14:editId="4D90C4AB">
                  <wp:extent cx="2581275" cy="3038475"/>
                  <wp:effectExtent l="12700" t="12700" r="12700" b="12700"/>
                  <wp:docPr id="3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6"/>
                          <a:srcRect r="1811"/>
                          <a:stretch>
                            <a:fillRect/>
                          </a:stretch>
                        </pic:blipFill>
                        <pic:spPr>
                          <a:xfrm>
                            <a:off x="0" y="0"/>
                            <a:ext cx="2581275" cy="3038475"/>
                          </a:xfrm>
                          <a:prstGeom prst="rect">
                            <a:avLst/>
                          </a:prstGeom>
                          <a:ln w="12700">
                            <a:solidFill>
                              <a:srgbClr val="CCCCCC"/>
                            </a:solidFill>
                            <a:prstDash val="solid"/>
                          </a:ln>
                        </pic:spPr>
                      </pic:pic>
                    </a:graphicData>
                  </a:graphic>
                </wp:inline>
              </w:drawing>
            </w:r>
          </w:p>
          <w:p w14:paraId="23370171" w14:textId="77777777" w:rsidR="00C56CD1" w:rsidRDefault="00DA00BA">
            <w:pPr>
              <w:pStyle w:val="normal0"/>
              <w:ind w:right="150"/>
              <w:rPr>
                <w:rFonts w:ascii="Muli" w:eastAsia="Muli" w:hAnsi="Muli" w:cs="Muli"/>
                <w:b/>
                <w:color w:val="FF126D"/>
                <w:sz w:val="20"/>
                <w:szCs w:val="20"/>
              </w:rPr>
            </w:pPr>
            <w:r>
              <w:rPr>
                <w:rFonts w:ascii="Muli" w:eastAsia="Muli" w:hAnsi="Muli" w:cs="Muli"/>
                <w:b/>
                <w:color w:val="FF126D"/>
                <w:sz w:val="20"/>
                <w:szCs w:val="20"/>
              </w:rPr>
              <w:t>Chapter 3 Second Read TE p. 299</w:t>
            </w:r>
          </w:p>
        </w:tc>
      </w:tr>
    </w:tbl>
    <w:p w14:paraId="5E3674AF" w14:textId="77777777" w:rsidR="00C56CD1" w:rsidRDefault="00DA00BA">
      <w:pPr>
        <w:pStyle w:val="normal0"/>
        <w:pBdr>
          <w:top w:val="nil"/>
          <w:left w:val="nil"/>
          <w:bottom w:val="nil"/>
          <w:right w:val="nil"/>
          <w:between w:val="nil"/>
        </w:pBdr>
        <w:spacing w:line="276" w:lineRule="auto"/>
        <w:ind w:left="90"/>
        <w:rPr>
          <w:rFonts w:ascii="Muli" w:eastAsia="Muli" w:hAnsi="Muli" w:cs="Muli"/>
        </w:rPr>
      </w:pPr>
      <w:r>
        <w:br w:type="page"/>
      </w:r>
    </w:p>
    <w:p w14:paraId="6A274C04" w14:textId="77777777" w:rsidR="00C56CD1" w:rsidRDefault="00C56CD1">
      <w:pPr>
        <w:pStyle w:val="normal0"/>
        <w:pBdr>
          <w:top w:val="nil"/>
          <w:left w:val="nil"/>
          <w:bottom w:val="nil"/>
          <w:right w:val="nil"/>
          <w:between w:val="nil"/>
        </w:pBdr>
        <w:spacing w:line="276" w:lineRule="auto"/>
        <w:ind w:left="90"/>
        <w:rPr>
          <w:rFonts w:ascii="Muli" w:eastAsia="Muli" w:hAnsi="Muli" w:cs="Muli"/>
        </w:rPr>
      </w:pPr>
    </w:p>
    <w:tbl>
      <w:tblPr>
        <w:tblStyle w:val="a8"/>
        <w:tblW w:w="14025" w:type="dxa"/>
        <w:tblInd w:w="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990"/>
        <w:gridCol w:w="2345"/>
        <w:gridCol w:w="2345"/>
        <w:gridCol w:w="2345"/>
      </w:tblGrid>
      <w:tr w:rsidR="00C56CD1" w14:paraId="53AE057C" w14:textId="77777777">
        <w:trPr>
          <w:trHeight w:val="740"/>
        </w:trPr>
        <w:tc>
          <w:tcPr>
            <w:tcW w:w="6990" w:type="dxa"/>
            <w:shd w:val="clear" w:color="auto" w:fill="2F5496"/>
            <w:tcMar>
              <w:top w:w="99" w:type="dxa"/>
              <w:left w:w="99" w:type="dxa"/>
              <w:bottom w:w="99" w:type="dxa"/>
              <w:right w:w="99" w:type="dxa"/>
            </w:tcMar>
          </w:tcPr>
          <w:p w14:paraId="009C2B9F" w14:textId="77777777" w:rsidR="00C56CD1" w:rsidRDefault="00DA00BA">
            <w:pPr>
              <w:pStyle w:val="normal0"/>
              <w:spacing w:before="222"/>
              <w:ind w:left="90"/>
              <w:rPr>
                <w:rFonts w:ascii="Muli" w:eastAsia="Muli" w:hAnsi="Muli" w:cs="Muli"/>
                <w:b/>
                <w:color w:val="FFFFFF"/>
                <w:sz w:val="20"/>
                <w:szCs w:val="20"/>
              </w:rPr>
            </w:pPr>
            <w:r>
              <w:rPr>
                <w:rFonts w:ascii="Muli" w:eastAsia="Muli" w:hAnsi="Muli" w:cs="Muli"/>
                <w:b/>
                <w:color w:val="FFFFFF"/>
                <w:sz w:val="20"/>
                <w:szCs w:val="20"/>
              </w:rPr>
              <w:t>Designed for the NGSS: Teacher Support</w:t>
            </w:r>
          </w:p>
        </w:tc>
        <w:tc>
          <w:tcPr>
            <w:tcW w:w="2345" w:type="dxa"/>
            <w:shd w:val="clear" w:color="auto" w:fill="2F5496"/>
            <w:tcMar>
              <w:top w:w="99" w:type="dxa"/>
              <w:left w:w="99" w:type="dxa"/>
              <w:bottom w:w="99" w:type="dxa"/>
              <w:right w:w="99" w:type="dxa"/>
            </w:tcMar>
          </w:tcPr>
          <w:p w14:paraId="02421109" w14:textId="77777777" w:rsidR="00C56CD1" w:rsidRDefault="00DA00BA">
            <w:pPr>
              <w:pStyle w:val="normal0"/>
              <w:spacing w:before="100"/>
              <w:ind w:left="90"/>
              <w:jc w:val="center"/>
              <w:rPr>
                <w:rFonts w:ascii="Muli" w:eastAsia="Muli" w:hAnsi="Muli" w:cs="Muli"/>
                <w:b/>
                <w:color w:val="FFFFFF"/>
                <w:sz w:val="20"/>
                <w:szCs w:val="20"/>
              </w:rPr>
            </w:pPr>
            <w:r>
              <w:rPr>
                <w:rFonts w:ascii="Muli" w:eastAsia="Muli" w:hAnsi="Muli" w:cs="Muli"/>
                <w:b/>
                <w:color w:val="FFFFFF"/>
                <w:sz w:val="20"/>
                <w:szCs w:val="20"/>
              </w:rPr>
              <w:t xml:space="preserve">High Quality </w:t>
            </w:r>
          </w:p>
          <w:p w14:paraId="3B94486F" w14:textId="77777777" w:rsidR="00C56CD1" w:rsidRDefault="00DA00BA">
            <w:pPr>
              <w:pStyle w:val="normal0"/>
              <w:spacing w:before="100"/>
              <w:ind w:left="90"/>
              <w:jc w:val="center"/>
              <w:rPr>
                <w:rFonts w:ascii="Muli" w:eastAsia="Muli" w:hAnsi="Muli" w:cs="Muli"/>
                <w:b/>
                <w:color w:val="FFFFFF"/>
                <w:sz w:val="20"/>
                <w:szCs w:val="20"/>
              </w:rPr>
            </w:pPr>
            <w:r>
              <w:rPr>
                <w:rFonts w:ascii="Muli" w:eastAsia="Muli" w:hAnsi="Muli" w:cs="Muli"/>
                <w:b/>
                <w:color w:val="FFFFFF"/>
                <w:sz w:val="20"/>
                <w:szCs w:val="20"/>
              </w:rPr>
              <w:t>5</w:t>
            </w:r>
          </w:p>
        </w:tc>
        <w:tc>
          <w:tcPr>
            <w:tcW w:w="2345" w:type="dxa"/>
            <w:shd w:val="clear" w:color="auto" w:fill="2F5496"/>
            <w:tcMar>
              <w:top w:w="99" w:type="dxa"/>
              <w:left w:w="99" w:type="dxa"/>
              <w:bottom w:w="99" w:type="dxa"/>
              <w:right w:w="99" w:type="dxa"/>
            </w:tcMar>
          </w:tcPr>
          <w:p w14:paraId="42AB9836" w14:textId="77777777" w:rsidR="00C56CD1" w:rsidRDefault="00DA00BA">
            <w:pPr>
              <w:pStyle w:val="normal0"/>
              <w:spacing w:before="100"/>
              <w:ind w:left="90"/>
              <w:jc w:val="center"/>
              <w:rPr>
                <w:rFonts w:ascii="Muli" w:eastAsia="Muli" w:hAnsi="Muli" w:cs="Muli"/>
                <w:b/>
                <w:color w:val="FFFFFF"/>
                <w:sz w:val="20"/>
                <w:szCs w:val="20"/>
              </w:rPr>
            </w:pPr>
            <w:r>
              <w:rPr>
                <w:rFonts w:ascii="Muli" w:eastAsia="Muli" w:hAnsi="Muli" w:cs="Muli"/>
                <w:b/>
                <w:color w:val="FFFFFF"/>
                <w:sz w:val="20"/>
                <w:szCs w:val="20"/>
              </w:rPr>
              <w:t xml:space="preserve">Medium Quality </w:t>
            </w:r>
          </w:p>
          <w:p w14:paraId="4BFB1E97" w14:textId="77777777" w:rsidR="00C56CD1" w:rsidRDefault="00DA00BA">
            <w:pPr>
              <w:pStyle w:val="normal0"/>
              <w:spacing w:before="100"/>
              <w:ind w:left="90"/>
              <w:jc w:val="center"/>
              <w:rPr>
                <w:rFonts w:ascii="Muli" w:eastAsia="Muli" w:hAnsi="Muli" w:cs="Muli"/>
                <w:b/>
                <w:color w:val="FFFFFF"/>
                <w:sz w:val="20"/>
                <w:szCs w:val="20"/>
              </w:rPr>
            </w:pPr>
            <w:r>
              <w:rPr>
                <w:rFonts w:ascii="Muli" w:eastAsia="Muli" w:hAnsi="Muli" w:cs="Muli"/>
                <w:b/>
                <w:color w:val="FFFFFF"/>
                <w:sz w:val="20"/>
                <w:szCs w:val="20"/>
              </w:rPr>
              <w:t>3</w:t>
            </w:r>
          </w:p>
        </w:tc>
        <w:tc>
          <w:tcPr>
            <w:tcW w:w="2345" w:type="dxa"/>
            <w:shd w:val="clear" w:color="auto" w:fill="2F5496"/>
            <w:tcMar>
              <w:top w:w="99" w:type="dxa"/>
              <w:left w:w="99" w:type="dxa"/>
              <w:bottom w:w="99" w:type="dxa"/>
              <w:right w:w="99" w:type="dxa"/>
            </w:tcMar>
          </w:tcPr>
          <w:p w14:paraId="7BD171ED" w14:textId="77777777" w:rsidR="00C56CD1" w:rsidRDefault="00DA00BA">
            <w:pPr>
              <w:pStyle w:val="normal0"/>
              <w:spacing w:before="100"/>
              <w:ind w:left="90"/>
              <w:jc w:val="center"/>
              <w:rPr>
                <w:rFonts w:ascii="Muli" w:eastAsia="Muli" w:hAnsi="Muli" w:cs="Muli"/>
                <w:b/>
                <w:color w:val="FFFFFF"/>
                <w:sz w:val="20"/>
                <w:szCs w:val="20"/>
              </w:rPr>
            </w:pPr>
            <w:r>
              <w:rPr>
                <w:rFonts w:ascii="Muli" w:eastAsia="Muli" w:hAnsi="Muli" w:cs="Muli"/>
                <w:b/>
                <w:color w:val="FFFFFF"/>
                <w:sz w:val="20"/>
                <w:szCs w:val="20"/>
              </w:rPr>
              <w:t xml:space="preserve">Low Quality </w:t>
            </w:r>
          </w:p>
          <w:p w14:paraId="2D0C8098" w14:textId="77777777" w:rsidR="00C56CD1" w:rsidRDefault="00DA00BA">
            <w:pPr>
              <w:pStyle w:val="normal0"/>
              <w:spacing w:before="100"/>
              <w:ind w:left="90"/>
              <w:jc w:val="center"/>
              <w:rPr>
                <w:rFonts w:ascii="Muli" w:eastAsia="Muli" w:hAnsi="Muli" w:cs="Muli"/>
                <w:color w:val="FFFFFF"/>
                <w:sz w:val="20"/>
                <w:szCs w:val="20"/>
              </w:rPr>
            </w:pPr>
            <w:r>
              <w:rPr>
                <w:rFonts w:ascii="Muli" w:eastAsia="Muli" w:hAnsi="Muli" w:cs="Muli"/>
                <w:b/>
                <w:color w:val="FFFFFF"/>
                <w:sz w:val="20"/>
                <w:szCs w:val="20"/>
              </w:rPr>
              <w:t>1</w:t>
            </w:r>
          </w:p>
        </w:tc>
      </w:tr>
      <w:tr w:rsidR="00C56CD1" w14:paraId="6FB4721F" w14:textId="77777777">
        <w:trPr>
          <w:trHeight w:val="2020"/>
        </w:trPr>
        <w:tc>
          <w:tcPr>
            <w:tcW w:w="6990" w:type="dxa"/>
            <w:tcBorders>
              <w:bottom w:val="single" w:sz="4" w:space="0" w:color="000000"/>
            </w:tcBorders>
            <w:tcMar>
              <w:top w:w="99" w:type="dxa"/>
              <w:left w:w="99" w:type="dxa"/>
              <w:bottom w:w="99" w:type="dxa"/>
              <w:right w:w="99" w:type="dxa"/>
            </w:tcMar>
          </w:tcPr>
          <w:p w14:paraId="56153DB6" w14:textId="77777777" w:rsidR="00C56CD1" w:rsidRDefault="00DA00BA">
            <w:pPr>
              <w:pStyle w:val="normal0"/>
              <w:pBdr>
                <w:top w:val="nil"/>
                <w:left w:val="nil"/>
                <w:bottom w:val="nil"/>
                <w:right w:val="nil"/>
                <w:between w:val="nil"/>
              </w:pBdr>
              <w:spacing w:before="44"/>
              <w:ind w:left="90" w:right="351"/>
              <w:rPr>
                <w:rFonts w:ascii="Muli" w:eastAsia="Muli" w:hAnsi="Muli" w:cs="Muli"/>
                <w:color w:val="000000"/>
                <w:sz w:val="20"/>
                <w:szCs w:val="20"/>
              </w:rPr>
            </w:pPr>
            <w:r>
              <w:rPr>
                <w:rFonts w:ascii="Muli" w:eastAsia="Muli" w:hAnsi="Muli" w:cs="Muli"/>
                <w:b/>
                <w:color w:val="000000"/>
                <w:sz w:val="20"/>
                <w:szCs w:val="20"/>
              </w:rPr>
              <w:t xml:space="preserve">TS1. Phenomenon/Problem Driven Three-Dimensional Learning. </w:t>
            </w:r>
            <w:r>
              <w:rPr>
                <w:rFonts w:ascii="Muli" w:eastAsia="Muli" w:hAnsi="Muli" w:cs="Muli"/>
                <w:color w:val="000000"/>
                <w:sz w:val="20"/>
                <w:szCs w:val="20"/>
              </w:rPr>
              <w:t>Teacher materials provide:</w:t>
            </w:r>
          </w:p>
          <w:p w14:paraId="07ED5CE4" w14:textId="77777777" w:rsidR="00C56CD1" w:rsidRDefault="00DA00BA">
            <w:pPr>
              <w:pStyle w:val="normal0"/>
              <w:numPr>
                <w:ilvl w:val="0"/>
                <w:numId w:val="4"/>
              </w:numPr>
              <w:pBdr>
                <w:top w:val="nil"/>
                <w:left w:val="nil"/>
                <w:bottom w:val="nil"/>
                <w:right w:val="nil"/>
                <w:between w:val="nil"/>
              </w:pBdr>
              <w:tabs>
                <w:tab w:val="left" w:pos="460"/>
                <w:tab w:val="left" w:pos="461"/>
              </w:tabs>
              <w:ind w:right="710"/>
              <w:contextualSpacing/>
              <w:rPr>
                <w:rFonts w:ascii="Muli" w:eastAsia="Muli" w:hAnsi="Muli" w:cs="Muli"/>
                <w:color w:val="000000"/>
                <w:sz w:val="20"/>
                <w:szCs w:val="20"/>
              </w:rPr>
            </w:pPr>
            <w:r>
              <w:rPr>
                <w:rFonts w:ascii="Muli" w:eastAsia="Muli" w:hAnsi="Muli" w:cs="Muli"/>
                <w:color w:val="000000"/>
                <w:sz w:val="20"/>
                <w:szCs w:val="20"/>
              </w:rPr>
              <w:t>background information about the phenomena or problems included in the learning sequence and across sequences.</w:t>
            </w:r>
          </w:p>
          <w:p w14:paraId="38114E47" w14:textId="77777777" w:rsidR="00C56CD1" w:rsidRDefault="00DA00BA">
            <w:pPr>
              <w:pStyle w:val="normal0"/>
              <w:numPr>
                <w:ilvl w:val="0"/>
                <w:numId w:val="4"/>
              </w:numPr>
              <w:pBdr>
                <w:top w:val="nil"/>
                <w:left w:val="nil"/>
                <w:bottom w:val="nil"/>
                <w:right w:val="nil"/>
                <w:between w:val="nil"/>
              </w:pBdr>
              <w:tabs>
                <w:tab w:val="left" w:pos="460"/>
                <w:tab w:val="left" w:pos="461"/>
              </w:tabs>
              <w:spacing w:line="242" w:lineRule="auto"/>
              <w:contextualSpacing/>
              <w:rPr>
                <w:rFonts w:ascii="Muli" w:eastAsia="Muli" w:hAnsi="Muli" w:cs="Muli"/>
                <w:color w:val="000000"/>
                <w:sz w:val="20"/>
                <w:szCs w:val="20"/>
              </w:rPr>
            </w:pPr>
            <w:r>
              <w:rPr>
                <w:rFonts w:ascii="Muli" w:eastAsia="Muli" w:hAnsi="Muli" w:cs="Muli"/>
                <w:color w:val="000000"/>
                <w:sz w:val="20"/>
                <w:szCs w:val="20"/>
              </w:rPr>
              <w:t>an explanation of the role of phenomena or problems in driving student learning.</w:t>
            </w:r>
          </w:p>
          <w:p w14:paraId="0AF4BD28" w14:textId="77777777" w:rsidR="00C56CD1" w:rsidRDefault="00DA00BA">
            <w:pPr>
              <w:pStyle w:val="normal0"/>
              <w:numPr>
                <w:ilvl w:val="0"/>
                <w:numId w:val="4"/>
              </w:numPr>
              <w:pBdr>
                <w:top w:val="nil"/>
                <w:left w:val="nil"/>
                <w:bottom w:val="nil"/>
                <w:right w:val="nil"/>
                <w:between w:val="nil"/>
              </w:pBdr>
              <w:tabs>
                <w:tab w:val="left" w:pos="460"/>
                <w:tab w:val="left" w:pos="461"/>
              </w:tabs>
              <w:ind w:right="176"/>
              <w:contextualSpacing/>
              <w:rPr>
                <w:rFonts w:ascii="Muli" w:eastAsia="Muli" w:hAnsi="Muli" w:cs="Muli"/>
                <w:color w:val="000000"/>
                <w:sz w:val="20"/>
                <w:szCs w:val="20"/>
              </w:rPr>
            </w:pPr>
            <w:r>
              <w:rPr>
                <w:rFonts w:ascii="Muli" w:eastAsia="Muli" w:hAnsi="Muli" w:cs="Muli"/>
                <w:color w:val="000000"/>
                <w:sz w:val="20"/>
                <w:szCs w:val="20"/>
              </w:rPr>
              <w:t>rationale for why the unit phenomena or problems were selected for the targeted DCIs, SEPs, and CCCs.</w:t>
            </w:r>
          </w:p>
          <w:p w14:paraId="6A096652" w14:textId="77777777" w:rsidR="00C56CD1" w:rsidRDefault="00DA00BA">
            <w:pPr>
              <w:pStyle w:val="normal0"/>
              <w:numPr>
                <w:ilvl w:val="0"/>
                <w:numId w:val="4"/>
              </w:numPr>
              <w:pBdr>
                <w:top w:val="nil"/>
                <w:left w:val="nil"/>
                <w:bottom w:val="nil"/>
                <w:right w:val="nil"/>
                <w:between w:val="nil"/>
              </w:pBdr>
              <w:spacing w:before="1"/>
              <w:contextualSpacing/>
              <w:rPr>
                <w:rFonts w:ascii="Muli" w:eastAsia="Muli" w:hAnsi="Muli" w:cs="Muli"/>
                <w:color w:val="000000"/>
                <w:sz w:val="20"/>
                <w:szCs w:val="20"/>
              </w:rPr>
            </w:pPr>
            <w:r>
              <w:rPr>
                <w:rFonts w:ascii="Muli" w:eastAsia="Muli" w:hAnsi="Muli" w:cs="Muli"/>
                <w:color w:val="000000"/>
                <w:sz w:val="20"/>
                <w:szCs w:val="20"/>
              </w:rPr>
              <w:t>Refer to F1, F2, SW1, SW2, SP1</w:t>
            </w:r>
          </w:p>
        </w:tc>
        <w:tc>
          <w:tcPr>
            <w:tcW w:w="2345" w:type="dxa"/>
            <w:tcBorders>
              <w:bottom w:val="single" w:sz="4" w:space="0" w:color="000000"/>
            </w:tcBorders>
            <w:tcMar>
              <w:top w:w="99" w:type="dxa"/>
              <w:left w:w="99" w:type="dxa"/>
              <w:bottom w:w="99" w:type="dxa"/>
              <w:right w:w="99" w:type="dxa"/>
            </w:tcMar>
          </w:tcPr>
          <w:p w14:paraId="05A739E0" w14:textId="77777777" w:rsidR="00C56CD1" w:rsidRDefault="00DA00BA">
            <w:pPr>
              <w:pStyle w:val="normal0"/>
              <w:pBdr>
                <w:top w:val="nil"/>
                <w:left w:val="nil"/>
                <w:bottom w:val="nil"/>
                <w:right w:val="nil"/>
                <w:between w:val="nil"/>
              </w:pBdr>
              <w:spacing w:before="44"/>
              <w:ind w:left="90" w:right="122"/>
              <w:rPr>
                <w:rFonts w:ascii="Muli" w:eastAsia="Muli" w:hAnsi="Muli" w:cs="Muli"/>
                <w:color w:val="000000"/>
                <w:sz w:val="20"/>
                <w:szCs w:val="20"/>
              </w:rPr>
            </w:pPr>
            <w:r>
              <w:rPr>
                <w:rFonts w:ascii="Muli" w:eastAsia="Muli" w:hAnsi="Muli" w:cs="Muli"/>
                <w:color w:val="000000"/>
                <w:sz w:val="20"/>
                <w:szCs w:val="20"/>
              </w:rPr>
              <w:t>Materials provide clear guidance to teachers on how students develop, use, and integrate the three dimensions to make sense of phenomena or design solutions to problems.</w:t>
            </w:r>
          </w:p>
        </w:tc>
        <w:tc>
          <w:tcPr>
            <w:tcW w:w="2345" w:type="dxa"/>
            <w:tcBorders>
              <w:bottom w:val="single" w:sz="4" w:space="0" w:color="000000"/>
            </w:tcBorders>
            <w:tcMar>
              <w:top w:w="99" w:type="dxa"/>
              <w:left w:w="99" w:type="dxa"/>
              <w:bottom w:w="99" w:type="dxa"/>
              <w:right w:w="99" w:type="dxa"/>
            </w:tcMar>
          </w:tcPr>
          <w:p w14:paraId="7B63F0EE" w14:textId="77777777" w:rsidR="00C56CD1" w:rsidRDefault="00DA00BA">
            <w:pPr>
              <w:pStyle w:val="normal0"/>
              <w:pBdr>
                <w:top w:val="nil"/>
                <w:left w:val="nil"/>
                <w:bottom w:val="nil"/>
                <w:right w:val="nil"/>
                <w:between w:val="nil"/>
              </w:pBdr>
              <w:ind w:left="90" w:right="122"/>
              <w:rPr>
                <w:rFonts w:ascii="Muli" w:eastAsia="Muli" w:hAnsi="Muli" w:cs="Muli"/>
                <w:color w:val="000000"/>
                <w:sz w:val="20"/>
                <w:szCs w:val="20"/>
              </w:rPr>
            </w:pPr>
            <w:r>
              <w:rPr>
                <w:rFonts w:ascii="Muli" w:eastAsia="Muli" w:hAnsi="Muli" w:cs="Muli"/>
                <w:color w:val="000000"/>
                <w:sz w:val="20"/>
                <w:szCs w:val="20"/>
              </w:rPr>
              <w:t>Materials provide some guidance to teachers about how students develop, use, and integ</w:t>
            </w:r>
            <w:r>
              <w:rPr>
                <w:rFonts w:ascii="Muli" w:eastAsia="Muli" w:hAnsi="Muli" w:cs="Muli"/>
                <w:color w:val="000000"/>
                <w:sz w:val="20"/>
                <w:szCs w:val="20"/>
              </w:rPr>
              <w:t>rate the three dimensions.</w:t>
            </w:r>
          </w:p>
        </w:tc>
        <w:tc>
          <w:tcPr>
            <w:tcW w:w="2345" w:type="dxa"/>
            <w:tcBorders>
              <w:bottom w:val="single" w:sz="4" w:space="0" w:color="000000"/>
            </w:tcBorders>
            <w:tcMar>
              <w:top w:w="99" w:type="dxa"/>
              <w:left w:w="99" w:type="dxa"/>
              <w:bottom w:w="99" w:type="dxa"/>
              <w:right w:w="99" w:type="dxa"/>
            </w:tcMar>
          </w:tcPr>
          <w:p w14:paraId="441EE142" w14:textId="77777777" w:rsidR="00C56CD1" w:rsidRDefault="00DA00BA">
            <w:pPr>
              <w:pStyle w:val="normal0"/>
              <w:pBdr>
                <w:top w:val="nil"/>
                <w:left w:val="nil"/>
                <w:bottom w:val="nil"/>
                <w:right w:val="nil"/>
                <w:between w:val="nil"/>
              </w:pBdr>
              <w:ind w:left="90" w:right="135"/>
              <w:rPr>
                <w:rFonts w:ascii="Muli" w:eastAsia="Muli" w:hAnsi="Muli" w:cs="Muli"/>
                <w:color w:val="000000"/>
                <w:sz w:val="20"/>
                <w:szCs w:val="20"/>
              </w:rPr>
            </w:pPr>
            <w:r>
              <w:rPr>
                <w:rFonts w:ascii="Muli" w:eastAsia="Muli" w:hAnsi="Muli" w:cs="Muli"/>
                <w:color w:val="000000"/>
                <w:sz w:val="20"/>
                <w:szCs w:val="20"/>
              </w:rPr>
              <w:t>Materials provide little guidance on developing, using, or integrating them to make sense of phenomena or design solutions to problems.</w:t>
            </w:r>
          </w:p>
        </w:tc>
      </w:tr>
      <w:tr w:rsidR="00C56CD1" w14:paraId="23F34FE1" w14:textId="77777777">
        <w:trPr>
          <w:trHeight w:val="2280"/>
        </w:trPr>
        <w:tc>
          <w:tcPr>
            <w:tcW w:w="6990" w:type="dxa"/>
            <w:tcBorders>
              <w:top w:val="single" w:sz="4" w:space="0" w:color="000000"/>
            </w:tcBorders>
            <w:tcMar>
              <w:top w:w="99" w:type="dxa"/>
              <w:left w:w="99" w:type="dxa"/>
              <w:bottom w:w="99" w:type="dxa"/>
              <w:right w:w="99" w:type="dxa"/>
            </w:tcMar>
          </w:tcPr>
          <w:p w14:paraId="788B0499" w14:textId="77777777" w:rsidR="00C56CD1" w:rsidRDefault="00DA00BA">
            <w:pPr>
              <w:pStyle w:val="normal0"/>
              <w:pBdr>
                <w:top w:val="nil"/>
                <w:left w:val="nil"/>
                <w:bottom w:val="nil"/>
                <w:right w:val="nil"/>
                <w:between w:val="nil"/>
              </w:pBdr>
              <w:spacing w:before="42"/>
              <w:ind w:left="90"/>
              <w:rPr>
                <w:rFonts w:ascii="Muli" w:eastAsia="Muli" w:hAnsi="Muli" w:cs="Muli"/>
                <w:color w:val="000000"/>
                <w:sz w:val="20"/>
                <w:szCs w:val="20"/>
              </w:rPr>
            </w:pPr>
            <w:r>
              <w:rPr>
                <w:rFonts w:ascii="Muli" w:eastAsia="Muli" w:hAnsi="Muli" w:cs="Muli"/>
                <w:b/>
                <w:color w:val="000000"/>
                <w:sz w:val="20"/>
                <w:szCs w:val="20"/>
              </w:rPr>
              <w:t xml:space="preserve">TS2. Coherence. </w:t>
            </w:r>
            <w:r>
              <w:rPr>
                <w:rFonts w:ascii="Muli" w:eastAsia="Muli" w:hAnsi="Muli" w:cs="Muli"/>
                <w:color w:val="000000"/>
                <w:sz w:val="20"/>
                <w:szCs w:val="20"/>
              </w:rPr>
              <w:t>Teacher materials describe and provide a rationale for:</w:t>
            </w:r>
          </w:p>
          <w:p w14:paraId="083C4CCF" w14:textId="77777777" w:rsidR="00C56CD1" w:rsidRDefault="00DA00BA">
            <w:pPr>
              <w:pStyle w:val="normal0"/>
              <w:numPr>
                <w:ilvl w:val="0"/>
                <w:numId w:val="6"/>
              </w:numPr>
              <w:pBdr>
                <w:top w:val="nil"/>
                <w:left w:val="nil"/>
                <w:bottom w:val="nil"/>
                <w:right w:val="nil"/>
                <w:between w:val="nil"/>
              </w:pBdr>
              <w:tabs>
                <w:tab w:val="left" w:pos="460"/>
                <w:tab w:val="left" w:pos="461"/>
              </w:tabs>
              <w:spacing w:before="1"/>
              <w:ind w:right="893"/>
              <w:contextualSpacing/>
              <w:rPr>
                <w:rFonts w:ascii="Muli" w:eastAsia="Muli" w:hAnsi="Muli" w:cs="Muli"/>
                <w:color w:val="000000"/>
                <w:sz w:val="20"/>
                <w:szCs w:val="20"/>
              </w:rPr>
            </w:pPr>
            <w:r>
              <w:rPr>
                <w:rFonts w:ascii="Muli" w:eastAsia="Muli" w:hAnsi="Muli" w:cs="Muli"/>
                <w:color w:val="000000"/>
                <w:sz w:val="20"/>
                <w:szCs w:val="20"/>
              </w:rPr>
              <w:t>the conceptual framework and sequence of ideas, practices, and learning experiences in the learning sequences and across sequences.</w:t>
            </w:r>
          </w:p>
          <w:p w14:paraId="0C5B51FB" w14:textId="77777777" w:rsidR="00C56CD1" w:rsidRDefault="00DA00BA">
            <w:pPr>
              <w:pStyle w:val="normal0"/>
              <w:numPr>
                <w:ilvl w:val="0"/>
                <w:numId w:val="6"/>
              </w:numPr>
              <w:pBdr>
                <w:top w:val="nil"/>
                <w:left w:val="nil"/>
                <w:bottom w:val="nil"/>
                <w:right w:val="nil"/>
                <w:between w:val="nil"/>
              </w:pBdr>
              <w:tabs>
                <w:tab w:val="left" w:pos="460"/>
                <w:tab w:val="left" w:pos="461"/>
              </w:tabs>
              <w:spacing w:before="1"/>
              <w:ind w:right="241"/>
              <w:contextualSpacing/>
              <w:rPr>
                <w:rFonts w:ascii="Muli" w:eastAsia="Muli" w:hAnsi="Muli" w:cs="Muli"/>
                <w:color w:val="000000"/>
                <w:sz w:val="20"/>
                <w:szCs w:val="20"/>
              </w:rPr>
            </w:pPr>
            <w:r>
              <w:rPr>
                <w:rFonts w:ascii="Muli" w:eastAsia="Muli" w:hAnsi="Muli" w:cs="Muli"/>
                <w:color w:val="000000"/>
                <w:sz w:val="20"/>
                <w:szCs w:val="20"/>
              </w:rPr>
              <w:t>strategies for linking student experiences across lessons to ensure student sense- making and/or problem-solving focused on phenomena or problems is linked to learning across all three dimensions.</w:t>
            </w:r>
          </w:p>
          <w:p w14:paraId="2664C72D" w14:textId="77777777" w:rsidR="00C56CD1" w:rsidRDefault="00DA00BA">
            <w:pPr>
              <w:pStyle w:val="normal0"/>
              <w:numPr>
                <w:ilvl w:val="0"/>
                <w:numId w:val="6"/>
              </w:numPr>
              <w:pBdr>
                <w:top w:val="nil"/>
                <w:left w:val="nil"/>
                <w:bottom w:val="nil"/>
                <w:right w:val="nil"/>
                <w:between w:val="nil"/>
              </w:pBdr>
              <w:tabs>
                <w:tab w:val="left" w:pos="459"/>
                <w:tab w:val="left" w:pos="460"/>
              </w:tabs>
              <w:ind w:right="143"/>
              <w:contextualSpacing/>
              <w:rPr>
                <w:rFonts w:ascii="Muli" w:eastAsia="Muli" w:hAnsi="Muli" w:cs="Muli"/>
                <w:color w:val="000000"/>
                <w:sz w:val="20"/>
                <w:szCs w:val="20"/>
              </w:rPr>
            </w:pPr>
            <w:r>
              <w:rPr>
                <w:rFonts w:ascii="Muli" w:eastAsia="Muli" w:hAnsi="Muli" w:cs="Muli"/>
                <w:color w:val="000000"/>
                <w:sz w:val="20"/>
                <w:szCs w:val="20"/>
              </w:rPr>
              <w:t>Connections to other science domains, nature of science, en</w:t>
            </w:r>
            <w:r>
              <w:rPr>
                <w:rFonts w:ascii="Muli" w:eastAsia="Muli" w:hAnsi="Muli" w:cs="Muli"/>
                <w:color w:val="000000"/>
                <w:sz w:val="20"/>
                <w:szCs w:val="20"/>
              </w:rPr>
              <w:t>gineering, technology, and applications of science, math, and ELA.</w:t>
            </w:r>
          </w:p>
          <w:p w14:paraId="0339DDA5" w14:textId="77777777" w:rsidR="00C56CD1" w:rsidRDefault="00DA00BA">
            <w:pPr>
              <w:pStyle w:val="normal0"/>
              <w:pBdr>
                <w:top w:val="nil"/>
                <w:left w:val="nil"/>
                <w:bottom w:val="nil"/>
                <w:right w:val="nil"/>
                <w:between w:val="nil"/>
              </w:pBdr>
              <w:spacing w:line="242" w:lineRule="auto"/>
              <w:rPr>
                <w:rFonts w:ascii="Muli" w:eastAsia="Muli" w:hAnsi="Muli" w:cs="Muli"/>
                <w:color w:val="000000"/>
                <w:sz w:val="20"/>
                <w:szCs w:val="20"/>
              </w:rPr>
            </w:pPr>
            <w:r>
              <w:rPr>
                <w:rFonts w:ascii="Muli" w:eastAsia="Muli" w:hAnsi="Muli" w:cs="Muli"/>
                <w:color w:val="000000"/>
                <w:sz w:val="20"/>
                <w:szCs w:val="20"/>
              </w:rPr>
              <w:t>Refer to F2, F3, SW2, SP2</w:t>
            </w:r>
          </w:p>
        </w:tc>
        <w:tc>
          <w:tcPr>
            <w:tcW w:w="2345" w:type="dxa"/>
            <w:tcBorders>
              <w:top w:val="single" w:sz="4" w:space="0" w:color="000000"/>
            </w:tcBorders>
            <w:tcMar>
              <w:top w:w="99" w:type="dxa"/>
              <w:left w:w="99" w:type="dxa"/>
              <w:bottom w:w="99" w:type="dxa"/>
              <w:right w:w="99" w:type="dxa"/>
            </w:tcMar>
          </w:tcPr>
          <w:p w14:paraId="5DF8C3AE" w14:textId="77777777" w:rsidR="00C56CD1" w:rsidRDefault="00DA00BA">
            <w:pPr>
              <w:pStyle w:val="normal0"/>
              <w:pBdr>
                <w:top w:val="nil"/>
                <w:left w:val="nil"/>
                <w:bottom w:val="nil"/>
                <w:right w:val="nil"/>
                <w:between w:val="nil"/>
              </w:pBdr>
              <w:spacing w:before="164"/>
              <w:ind w:left="90" w:right="106"/>
              <w:rPr>
                <w:rFonts w:ascii="Muli" w:eastAsia="Muli" w:hAnsi="Muli" w:cs="Muli"/>
                <w:color w:val="000000"/>
                <w:sz w:val="20"/>
                <w:szCs w:val="20"/>
              </w:rPr>
            </w:pPr>
            <w:r>
              <w:rPr>
                <w:rFonts w:ascii="Muli" w:eastAsia="Muli" w:hAnsi="Muli" w:cs="Muli"/>
                <w:color w:val="000000"/>
                <w:sz w:val="20"/>
                <w:szCs w:val="20"/>
              </w:rPr>
              <w:t>Materials provide strong support for understanding unit coherence and helping students link experiences to learning across all three dimensions and to phenomena or problems.</w:t>
            </w:r>
          </w:p>
        </w:tc>
        <w:tc>
          <w:tcPr>
            <w:tcW w:w="2345" w:type="dxa"/>
            <w:tcBorders>
              <w:top w:val="single" w:sz="4" w:space="0" w:color="000000"/>
            </w:tcBorders>
            <w:tcMar>
              <w:top w:w="99" w:type="dxa"/>
              <w:left w:w="99" w:type="dxa"/>
              <w:bottom w:w="99" w:type="dxa"/>
              <w:right w:w="99" w:type="dxa"/>
            </w:tcMar>
          </w:tcPr>
          <w:p w14:paraId="2B77C1A8" w14:textId="77777777" w:rsidR="00C56CD1" w:rsidRDefault="00DA00BA">
            <w:pPr>
              <w:pStyle w:val="normal0"/>
              <w:pBdr>
                <w:top w:val="nil"/>
                <w:left w:val="nil"/>
                <w:bottom w:val="nil"/>
                <w:right w:val="nil"/>
                <w:between w:val="nil"/>
              </w:pBdr>
              <w:spacing w:before="164"/>
              <w:ind w:left="90" w:right="106"/>
              <w:rPr>
                <w:rFonts w:ascii="Muli" w:eastAsia="Muli" w:hAnsi="Muli" w:cs="Muli"/>
                <w:color w:val="000000"/>
                <w:sz w:val="20"/>
                <w:szCs w:val="20"/>
              </w:rPr>
            </w:pPr>
            <w:r>
              <w:rPr>
                <w:rFonts w:ascii="Muli" w:eastAsia="Muli" w:hAnsi="Muli" w:cs="Muli"/>
                <w:color w:val="000000"/>
                <w:sz w:val="20"/>
                <w:szCs w:val="20"/>
              </w:rPr>
              <w:t>Materials provide some support for understanding unit coherence and helping studen</w:t>
            </w:r>
            <w:r>
              <w:rPr>
                <w:rFonts w:ascii="Muli" w:eastAsia="Muli" w:hAnsi="Muli" w:cs="Muli"/>
                <w:color w:val="000000"/>
                <w:sz w:val="20"/>
                <w:szCs w:val="20"/>
              </w:rPr>
              <w:t>ts link experiences to learning across all three dimensions and to phenomena or problems.</w:t>
            </w:r>
          </w:p>
        </w:tc>
        <w:tc>
          <w:tcPr>
            <w:tcW w:w="2345" w:type="dxa"/>
            <w:tcBorders>
              <w:top w:val="single" w:sz="4" w:space="0" w:color="000000"/>
            </w:tcBorders>
            <w:tcMar>
              <w:top w:w="99" w:type="dxa"/>
              <w:left w:w="99" w:type="dxa"/>
              <w:bottom w:w="99" w:type="dxa"/>
              <w:right w:w="99" w:type="dxa"/>
            </w:tcMar>
          </w:tcPr>
          <w:p w14:paraId="2C4D138A" w14:textId="77777777" w:rsidR="00C56CD1" w:rsidRDefault="00DA00BA">
            <w:pPr>
              <w:pStyle w:val="normal0"/>
              <w:pBdr>
                <w:top w:val="nil"/>
                <w:left w:val="nil"/>
                <w:bottom w:val="nil"/>
                <w:right w:val="nil"/>
                <w:between w:val="nil"/>
              </w:pBdr>
              <w:spacing w:before="165"/>
              <w:ind w:left="90" w:right="105"/>
              <w:rPr>
                <w:rFonts w:ascii="Muli" w:eastAsia="Muli" w:hAnsi="Muli" w:cs="Muli"/>
                <w:color w:val="000000"/>
                <w:sz w:val="20"/>
                <w:szCs w:val="20"/>
              </w:rPr>
            </w:pPr>
            <w:r>
              <w:rPr>
                <w:rFonts w:ascii="Muli" w:eastAsia="Muli" w:hAnsi="Muli" w:cs="Muli"/>
                <w:color w:val="000000"/>
                <w:sz w:val="20"/>
                <w:szCs w:val="20"/>
              </w:rPr>
              <w:t>Materials provide little support for understanding unit coherence and helping students link experiences to learning across all three dimensions and to phenomena or pr</w:t>
            </w:r>
            <w:r>
              <w:rPr>
                <w:rFonts w:ascii="Muli" w:eastAsia="Muli" w:hAnsi="Muli" w:cs="Muli"/>
                <w:color w:val="000000"/>
                <w:sz w:val="20"/>
                <w:szCs w:val="20"/>
              </w:rPr>
              <w:t>oblems.</w:t>
            </w:r>
          </w:p>
        </w:tc>
      </w:tr>
      <w:tr w:rsidR="00C56CD1" w14:paraId="09861137" w14:textId="77777777">
        <w:trPr>
          <w:trHeight w:val="2020"/>
        </w:trPr>
        <w:tc>
          <w:tcPr>
            <w:tcW w:w="6990" w:type="dxa"/>
            <w:tcMar>
              <w:top w:w="99" w:type="dxa"/>
              <w:left w:w="99" w:type="dxa"/>
              <w:bottom w:w="99" w:type="dxa"/>
              <w:right w:w="99" w:type="dxa"/>
            </w:tcMar>
          </w:tcPr>
          <w:p w14:paraId="484C2DCD" w14:textId="77777777" w:rsidR="00C56CD1" w:rsidRDefault="00DA00BA">
            <w:pPr>
              <w:pStyle w:val="normal0"/>
              <w:pBdr>
                <w:top w:val="nil"/>
                <w:left w:val="nil"/>
                <w:bottom w:val="nil"/>
                <w:right w:val="nil"/>
                <w:between w:val="nil"/>
              </w:pBdr>
              <w:spacing w:before="44"/>
              <w:ind w:left="90" w:right="253"/>
              <w:rPr>
                <w:rFonts w:ascii="Muli" w:eastAsia="Muli" w:hAnsi="Muli" w:cs="Muli"/>
                <w:color w:val="000000"/>
                <w:sz w:val="20"/>
                <w:szCs w:val="20"/>
              </w:rPr>
            </w:pPr>
            <w:r>
              <w:rPr>
                <w:rFonts w:ascii="Muli" w:eastAsia="Muli" w:hAnsi="Muli" w:cs="Muli"/>
                <w:b/>
                <w:color w:val="000000"/>
                <w:sz w:val="20"/>
                <w:szCs w:val="20"/>
              </w:rPr>
              <w:lastRenderedPageBreak/>
              <w:t xml:space="preserve">TS3. Effective Teaching. </w:t>
            </w:r>
            <w:r>
              <w:rPr>
                <w:rFonts w:ascii="Muli" w:eastAsia="Muli" w:hAnsi="Muli" w:cs="Muli"/>
                <w:color w:val="000000"/>
                <w:sz w:val="20"/>
                <w:szCs w:val="20"/>
              </w:rPr>
              <w:t>Teacher materials support the use of and provide a rationale and evidence of effectiveness for strategies that:</w:t>
            </w:r>
          </w:p>
          <w:p w14:paraId="2D85DAC1" w14:textId="77777777" w:rsidR="00C56CD1" w:rsidRDefault="00DA00BA">
            <w:pPr>
              <w:pStyle w:val="normal0"/>
              <w:numPr>
                <w:ilvl w:val="0"/>
                <w:numId w:val="10"/>
              </w:numPr>
              <w:pBdr>
                <w:top w:val="nil"/>
                <w:left w:val="nil"/>
                <w:bottom w:val="nil"/>
                <w:right w:val="nil"/>
                <w:between w:val="nil"/>
              </w:pBdr>
              <w:tabs>
                <w:tab w:val="left" w:pos="460"/>
                <w:tab w:val="left" w:pos="461"/>
              </w:tabs>
              <w:spacing w:before="1"/>
              <w:ind w:right="477"/>
              <w:contextualSpacing/>
              <w:rPr>
                <w:rFonts w:ascii="Muli" w:eastAsia="Muli" w:hAnsi="Muli" w:cs="Muli"/>
                <w:color w:val="000000"/>
                <w:sz w:val="20"/>
                <w:szCs w:val="20"/>
              </w:rPr>
            </w:pPr>
            <w:r>
              <w:rPr>
                <w:rFonts w:ascii="Muli" w:eastAsia="Muli" w:hAnsi="Muli" w:cs="Muli"/>
                <w:color w:val="000000"/>
                <w:sz w:val="20"/>
                <w:szCs w:val="20"/>
              </w:rPr>
              <w:t>support students in learning through authentic and meaningful phenomena or design problems.</w:t>
            </w:r>
          </w:p>
          <w:p w14:paraId="0325EA52" w14:textId="77777777" w:rsidR="00C56CD1" w:rsidRDefault="00DA00BA">
            <w:pPr>
              <w:pStyle w:val="normal0"/>
              <w:numPr>
                <w:ilvl w:val="0"/>
                <w:numId w:val="10"/>
              </w:numPr>
              <w:pBdr>
                <w:top w:val="nil"/>
                <w:left w:val="nil"/>
                <w:bottom w:val="nil"/>
                <w:right w:val="nil"/>
                <w:between w:val="nil"/>
              </w:pBdr>
              <w:tabs>
                <w:tab w:val="left" w:pos="460"/>
                <w:tab w:val="left" w:pos="461"/>
              </w:tabs>
              <w:spacing w:line="242" w:lineRule="auto"/>
              <w:contextualSpacing/>
              <w:rPr>
                <w:rFonts w:ascii="Muli" w:eastAsia="Muli" w:hAnsi="Muli" w:cs="Muli"/>
                <w:color w:val="000000"/>
                <w:sz w:val="20"/>
                <w:szCs w:val="20"/>
              </w:rPr>
            </w:pPr>
            <w:r>
              <w:rPr>
                <w:rFonts w:ascii="Muli" w:eastAsia="Muli" w:hAnsi="Muli" w:cs="Muli"/>
                <w:color w:val="000000"/>
                <w:sz w:val="20"/>
                <w:szCs w:val="20"/>
              </w:rPr>
              <w:t>support student learning across the three dimensions.</w:t>
            </w:r>
          </w:p>
          <w:p w14:paraId="609AF4D9" w14:textId="77777777" w:rsidR="00C56CD1" w:rsidRDefault="00DA00BA">
            <w:pPr>
              <w:pStyle w:val="normal0"/>
              <w:numPr>
                <w:ilvl w:val="0"/>
                <w:numId w:val="10"/>
              </w:numPr>
              <w:pBdr>
                <w:top w:val="nil"/>
                <w:left w:val="nil"/>
                <w:bottom w:val="nil"/>
                <w:right w:val="nil"/>
                <w:between w:val="nil"/>
              </w:pBdr>
              <w:tabs>
                <w:tab w:val="left" w:pos="460"/>
                <w:tab w:val="left" w:pos="461"/>
              </w:tabs>
              <w:spacing w:before="1"/>
              <w:ind w:right="400"/>
              <w:contextualSpacing/>
              <w:rPr>
                <w:rFonts w:ascii="Muli" w:eastAsia="Muli" w:hAnsi="Muli" w:cs="Muli"/>
                <w:color w:val="000000"/>
                <w:sz w:val="20"/>
                <w:szCs w:val="20"/>
              </w:rPr>
            </w:pPr>
            <w:r>
              <w:rPr>
                <w:rFonts w:ascii="Muli" w:eastAsia="Muli" w:hAnsi="Muli" w:cs="Muli"/>
                <w:color w:val="000000"/>
                <w:sz w:val="20"/>
                <w:szCs w:val="20"/>
              </w:rPr>
              <w:t>make student thinking visible; promote reasoning, sense-making, and problem-solving; challenge student thinking; and develop metacognitive abilities.</w:t>
            </w:r>
          </w:p>
          <w:p w14:paraId="33B0175B" w14:textId="77777777" w:rsidR="00C56CD1" w:rsidRDefault="00DA00BA">
            <w:pPr>
              <w:pStyle w:val="normal0"/>
              <w:pBdr>
                <w:top w:val="nil"/>
                <w:left w:val="nil"/>
                <w:bottom w:val="nil"/>
                <w:right w:val="nil"/>
                <w:between w:val="nil"/>
              </w:pBdr>
              <w:spacing w:line="242" w:lineRule="auto"/>
              <w:ind w:left="90"/>
              <w:rPr>
                <w:rFonts w:ascii="Muli" w:eastAsia="Muli" w:hAnsi="Muli" w:cs="Muli"/>
                <w:color w:val="000000"/>
                <w:sz w:val="20"/>
                <w:szCs w:val="20"/>
              </w:rPr>
            </w:pPr>
            <w:r>
              <w:rPr>
                <w:rFonts w:ascii="Muli" w:eastAsia="Muli" w:hAnsi="Muli" w:cs="Muli"/>
                <w:color w:val="000000"/>
                <w:sz w:val="20"/>
                <w:szCs w:val="20"/>
              </w:rPr>
              <w:t>Refer to SW1, SW2, SW3, SW4, SP3</w:t>
            </w:r>
          </w:p>
        </w:tc>
        <w:tc>
          <w:tcPr>
            <w:tcW w:w="2345" w:type="dxa"/>
            <w:tcMar>
              <w:top w:w="99" w:type="dxa"/>
              <w:left w:w="99" w:type="dxa"/>
              <w:bottom w:w="99" w:type="dxa"/>
              <w:right w:w="99" w:type="dxa"/>
            </w:tcMar>
          </w:tcPr>
          <w:p w14:paraId="057CC578" w14:textId="77777777" w:rsidR="00C56CD1" w:rsidRDefault="00DA00BA">
            <w:pPr>
              <w:pStyle w:val="normal0"/>
              <w:pBdr>
                <w:top w:val="nil"/>
                <w:left w:val="nil"/>
                <w:bottom w:val="nil"/>
                <w:right w:val="nil"/>
                <w:between w:val="nil"/>
              </w:pBdr>
              <w:spacing w:before="166"/>
              <w:ind w:left="90" w:right="151"/>
              <w:rPr>
                <w:rFonts w:ascii="Muli" w:eastAsia="Muli" w:hAnsi="Muli" w:cs="Muli"/>
                <w:color w:val="000000"/>
                <w:sz w:val="20"/>
                <w:szCs w:val="20"/>
              </w:rPr>
            </w:pPr>
            <w:r>
              <w:rPr>
                <w:rFonts w:ascii="Muli" w:eastAsia="Muli" w:hAnsi="Muli" w:cs="Muli"/>
                <w:color w:val="000000"/>
                <w:sz w:val="20"/>
                <w:szCs w:val="20"/>
              </w:rPr>
              <w:t>Materials provide rationale and robust support for implementing strategies that enhance student performances, thinking, and metacognition.</w:t>
            </w:r>
          </w:p>
        </w:tc>
        <w:tc>
          <w:tcPr>
            <w:tcW w:w="2345" w:type="dxa"/>
            <w:tcMar>
              <w:top w:w="99" w:type="dxa"/>
              <w:left w:w="99" w:type="dxa"/>
              <w:bottom w:w="99" w:type="dxa"/>
              <w:right w:w="99" w:type="dxa"/>
            </w:tcMar>
          </w:tcPr>
          <w:p w14:paraId="1EB0440B" w14:textId="77777777" w:rsidR="00C56CD1" w:rsidRDefault="00DA00BA">
            <w:pPr>
              <w:pStyle w:val="normal0"/>
              <w:pBdr>
                <w:top w:val="nil"/>
                <w:left w:val="nil"/>
                <w:bottom w:val="nil"/>
                <w:right w:val="nil"/>
                <w:between w:val="nil"/>
              </w:pBdr>
              <w:spacing w:before="1"/>
              <w:ind w:left="90" w:right="202"/>
              <w:rPr>
                <w:rFonts w:ascii="Muli" w:eastAsia="Muli" w:hAnsi="Muli" w:cs="Muli"/>
                <w:color w:val="000000"/>
                <w:sz w:val="20"/>
                <w:szCs w:val="20"/>
              </w:rPr>
            </w:pPr>
            <w:r>
              <w:rPr>
                <w:rFonts w:ascii="Muli" w:eastAsia="Muli" w:hAnsi="Muli" w:cs="Muli"/>
                <w:color w:val="000000"/>
                <w:sz w:val="20"/>
                <w:szCs w:val="20"/>
              </w:rPr>
              <w:t>Materials provide some rationale and support for implementing strategies that enhance student performances, thinking, and metacognition.</w:t>
            </w:r>
          </w:p>
        </w:tc>
        <w:tc>
          <w:tcPr>
            <w:tcW w:w="2345" w:type="dxa"/>
            <w:tcMar>
              <w:top w:w="99" w:type="dxa"/>
              <w:left w:w="99" w:type="dxa"/>
              <w:bottom w:w="99" w:type="dxa"/>
              <w:right w:w="99" w:type="dxa"/>
            </w:tcMar>
          </w:tcPr>
          <w:p w14:paraId="6B2F1D5B" w14:textId="77777777" w:rsidR="00C56CD1" w:rsidRDefault="00DA00BA">
            <w:pPr>
              <w:pStyle w:val="normal0"/>
              <w:pBdr>
                <w:top w:val="nil"/>
                <w:left w:val="nil"/>
                <w:bottom w:val="nil"/>
                <w:right w:val="nil"/>
                <w:between w:val="nil"/>
              </w:pBdr>
              <w:spacing w:before="167"/>
              <w:ind w:left="90" w:right="201"/>
              <w:rPr>
                <w:rFonts w:ascii="Muli" w:eastAsia="Muli" w:hAnsi="Muli" w:cs="Muli"/>
                <w:color w:val="000000"/>
                <w:sz w:val="20"/>
                <w:szCs w:val="20"/>
              </w:rPr>
            </w:pPr>
            <w:r>
              <w:rPr>
                <w:rFonts w:ascii="Muli" w:eastAsia="Muli" w:hAnsi="Muli" w:cs="Muli"/>
                <w:color w:val="000000"/>
                <w:sz w:val="20"/>
                <w:szCs w:val="20"/>
              </w:rPr>
              <w:t xml:space="preserve">Materials provide little rationale and support for teachers to implement strategies that enhance student performances, </w:t>
            </w:r>
            <w:r>
              <w:rPr>
                <w:rFonts w:ascii="Muli" w:eastAsia="Muli" w:hAnsi="Muli" w:cs="Muli"/>
                <w:color w:val="000000"/>
                <w:sz w:val="20"/>
                <w:szCs w:val="20"/>
              </w:rPr>
              <w:t>thinking, and metacognition.</w:t>
            </w:r>
          </w:p>
        </w:tc>
      </w:tr>
      <w:tr w:rsidR="00C56CD1" w14:paraId="706E6D80" w14:textId="77777777">
        <w:trPr>
          <w:trHeight w:val="1540"/>
        </w:trPr>
        <w:tc>
          <w:tcPr>
            <w:tcW w:w="6990" w:type="dxa"/>
            <w:tcMar>
              <w:top w:w="99" w:type="dxa"/>
              <w:left w:w="99" w:type="dxa"/>
              <w:bottom w:w="99" w:type="dxa"/>
              <w:right w:w="99" w:type="dxa"/>
            </w:tcMar>
          </w:tcPr>
          <w:p w14:paraId="774F26D8" w14:textId="77777777" w:rsidR="00C56CD1" w:rsidRDefault="00DA00BA">
            <w:pPr>
              <w:pStyle w:val="normal0"/>
              <w:pBdr>
                <w:top w:val="nil"/>
                <w:left w:val="nil"/>
                <w:bottom w:val="nil"/>
                <w:right w:val="nil"/>
                <w:between w:val="nil"/>
              </w:pBdr>
              <w:spacing w:before="44"/>
              <w:ind w:left="90" w:right="176"/>
              <w:rPr>
                <w:rFonts w:ascii="Muli" w:eastAsia="Muli" w:hAnsi="Muli" w:cs="Muli"/>
                <w:color w:val="000000"/>
                <w:sz w:val="20"/>
                <w:szCs w:val="20"/>
              </w:rPr>
            </w:pPr>
            <w:r>
              <w:rPr>
                <w:rFonts w:ascii="Muli" w:eastAsia="Muli" w:hAnsi="Muli" w:cs="Muli"/>
                <w:b/>
                <w:color w:val="000000"/>
                <w:sz w:val="20"/>
                <w:szCs w:val="20"/>
              </w:rPr>
              <w:t xml:space="preserve">TS4. Support for Students with Diverse Learning Needs. </w:t>
            </w:r>
            <w:r>
              <w:rPr>
                <w:rFonts w:ascii="Muli" w:eastAsia="Muli" w:hAnsi="Muli" w:cs="Muli"/>
                <w:color w:val="000000"/>
                <w:sz w:val="20"/>
                <w:szCs w:val="20"/>
              </w:rPr>
              <w:t>Teacher materials provide an array of strategies:</w:t>
            </w:r>
          </w:p>
          <w:p w14:paraId="329231B1" w14:textId="77777777" w:rsidR="00C56CD1" w:rsidRDefault="00DA00BA">
            <w:pPr>
              <w:pStyle w:val="normal0"/>
              <w:numPr>
                <w:ilvl w:val="0"/>
                <w:numId w:val="25"/>
              </w:numPr>
              <w:pBdr>
                <w:top w:val="nil"/>
                <w:left w:val="nil"/>
                <w:bottom w:val="nil"/>
                <w:right w:val="nil"/>
                <w:between w:val="nil"/>
              </w:pBdr>
              <w:tabs>
                <w:tab w:val="left" w:pos="460"/>
                <w:tab w:val="left" w:pos="461"/>
              </w:tabs>
              <w:ind w:right="829"/>
              <w:contextualSpacing/>
              <w:rPr>
                <w:rFonts w:ascii="Muli" w:eastAsia="Muli" w:hAnsi="Muli" w:cs="Muli"/>
                <w:color w:val="000000"/>
                <w:sz w:val="20"/>
                <w:szCs w:val="20"/>
              </w:rPr>
            </w:pPr>
            <w:r>
              <w:rPr>
                <w:rFonts w:ascii="Muli" w:eastAsia="Muli" w:hAnsi="Muli" w:cs="Muli"/>
                <w:color w:val="000000"/>
                <w:sz w:val="20"/>
                <w:szCs w:val="20"/>
              </w:rPr>
              <w:t>to support student access to the targeted learning goals, experiences, and performances.</w:t>
            </w:r>
          </w:p>
          <w:p w14:paraId="2D892BA5" w14:textId="77777777" w:rsidR="00C56CD1" w:rsidRDefault="00DA00BA">
            <w:pPr>
              <w:pStyle w:val="normal0"/>
              <w:numPr>
                <w:ilvl w:val="0"/>
                <w:numId w:val="25"/>
              </w:numPr>
              <w:pBdr>
                <w:top w:val="nil"/>
                <w:left w:val="nil"/>
                <w:bottom w:val="nil"/>
                <w:right w:val="nil"/>
                <w:between w:val="nil"/>
              </w:pBdr>
              <w:tabs>
                <w:tab w:val="left" w:pos="460"/>
                <w:tab w:val="left" w:pos="461"/>
              </w:tabs>
              <w:ind w:right="829"/>
              <w:contextualSpacing/>
              <w:rPr>
                <w:rFonts w:ascii="Muli" w:eastAsia="Muli" w:hAnsi="Muli" w:cs="Muli"/>
                <w:color w:val="000000"/>
                <w:sz w:val="20"/>
                <w:szCs w:val="20"/>
              </w:rPr>
            </w:pPr>
            <w:r>
              <w:rPr>
                <w:rFonts w:ascii="Muli" w:eastAsia="Muli" w:hAnsi="Muli" w:cs="Muli"/>
                <w:color w:val="000000"/>
                <w:sz w:val="20"/>
                <w:szCs w:val="20"/>
              </w:rPr>
              <w:t>that help teachers differentiate instruction.</w:t>
            </w:r>
          </w:p>
          <w:p w14:paraId="025C1257" w14:textId="77777777" w:rsidR="00C56CD1" w:rsidRDefault="00DA00BA">
            <w:pPr>
              <w:pStyle w:val="normal0"/>
              <w:tabs>
                <w:tab w:val="left" w:pos="460"/>
                <w:tab w:val="left" w:pos="461"/>
              </w:tabs>
              <w:ind w:left="90" w:right="829"/>
              <w:rPr>
                <w:rFonts w:ascii="Muli" w:eastAsia="Muli" w:hAnsi="Muli" w:cs="Muli"/>
                <w:sz w:val="20"/>
                <w:szCs w:val="20"/>
              </w:rPr>
            </w:pPr>
            <w:r>
              <w:rPr>
                <w:rFonts w:ascii="Muli" w:eastAsia="Muli" w:hAnsi="Muli" w:cs="Muli"/>
                <w:sz w:val="20"/>
                <w:szCs w:val="20"/>
              </w:rPr>
              <w:t>Refer to SW5, SP4</w:t>
            </w:r>
          </w:p>
        </w:tc>
        <w:tc>
          <w:tcPr>
            <w:tcW w:w="2345" w:type="dxa"/>
            <w:tcMar>
              <w:top w:w="99" w:type="dxa"/>
              <w:left w:w="99" w:type="dxa"/>
              <w:bottom w:w="99" w:type="dxa"/>
              <w:right w:w="99" w:type="dxa"/>
            </w:tcMar>
          </w:tcPr>
          <w:p w14:paraId="21384C54" w14:textId="77777777" w:rsidR="00C56CD1" w:rsidRDefault="00DA00BA">
            <w:pPr>
              <w:pStyle w:val="normal0"/>
              <w:pBdr>
                <w:top w:val="nil"/>
                <w:left w:val="nil"/>
                <w:bottom w:val="nil"/>
                <w:right w:val="nil"/>
                <w:between w:val="nil"/>
              </w:pBdr>
              <w:spacing w:before="166"/>
              <w:ind w:left="90" w:right="243"/>
              <w:rPr>
                <w:rFonts w:ascii="Muli" w:eastAsia="Muli" w:hAnsi="Muli" w:cs="Muli"/>
                <w:color w:val="000000"/>
                <w:sz w:val="20"/>
                <w:szCs w:val="20"/>
              </w:rPr>
            </w:pPr>
            <w:r>
              <w:rPr>
                <w:rFonts w:ascii="Muli" w:eastAsia="Muli" w:hAnsi="Muli" w:cs="Muli"/>
                <w:color w:val="000000"/>
                <w:sz w:val="20"/>
                <w:szCs w:val="20"/>
              </w:rPr>
              <w:t>Materials include robust and comprehensive strategies for supporting learners with diverse needs.</w:t>
            </w:r>
          </w:p>
        </w:tc>
        <w:tc>
          <w:tcPr>
            <w:tcW w:w="2345" w:type="dxa"/>
            <w:tcMar>
              <w:top w:w="99" w:type="dxa"/>
              <w:left w:w="99" w:type="dxa"/>
              <w:bottom w:w="99" w:type="dxa"/>
              <w:right w:w="99" w:type="dxa"/>
            </w:tcMar>
          </w:tcPr>
          <w:p w14:paraId="07D4F941" w14:textId="77777777" w:rsidR="00C56CD1" w:rsidRDefault="00DA00BA">
            <w:pPr>
              <w:pStyle w:val="normal0"/>
              <w:pBdr>
                <w:top w:val="nil"/>
                <w:left w:val="nil"/>
                <w:bottom w:val="nil"/>
                <w:right w:val="nil"/>
                <w:between w:val="nil"/>
              </w:pBdr>
              <w:spacing w:before="1"/>
              <w:ind w:left="90" w:right="122"/>
              <w:rPr>
                <w:rFonts w:ascii="Muli" w:eastAsia="Muli" w:hAnsi="Muli" w:cs="Muli"/>
                <w:color w:val="000000"/>
                <w:sz w:val="20"/>
                <w:szCs w:val="20"/>
              </w:rPr>
            </w:pPr>
            <w:r>
              <w:rPr>
                <w:rFonts w:ascii="Muli" w:eastAsia="Muli" w:hAnsi="Muli" w:cs="Muli"/>
                <w:color w:val="000000"/>
                <w:sz w:val="20"/>
                <w:szCs w:val="20"/>
              </w:rPr>
              <w:t>Materials include some robust strategies for supporting learners with diverse needs.</w:t>
            </w:r>
          </w:p>
        </w:tc>
        <w:tc>
          <w:tcPr>
            <w:tcW w:w="2345" w:type="dxa"/>
            <w:tcMar>
              <w:top w:w="99" w:type="dxa"/>
              <w:left w:w="99" w:type="dxa"/>
              <w:bottom w:w="99" w:type="dxa"/>
              <w:right w:w="99" w:type="dxa"/>
            </w:tcMar>
          </w:tcPr>
          <w:p w14:paraId="106AE8B7" w14:textId="77777777" w:rsidR="00C56CD1" w:rsidRDefault="00DA00BA">
            <w:pPr>
              <w:pStyle w:val="normal0"/>
              <w:pBdr>
                <w:top w:val="nil"/>
                <w:left w:val="nil"/>
                <w:bottom w:val="nil"/>
                <w:right w:val="nil"/>
                <w:between w:val="nil"/>
              </w:pBdr>
              <w:spacing w:before="1"/>
              <w:ind w:left="90" w:right="249"/>
              <w:rPr>
                <w:rFonts w:ascii="Muli" w:eastAsia="Muli" w:hAnsi="Muli" w:cs="Muli"/>
                <w:color w:val="000000"/>
                <w:sz w:val="20"/>
                <w:szCs w:val="20"/>
              </w:rPr>
            </w:pPr>
            <w:r>
              <w:rPr>
                <w:rFonts w:ascii="Muli" w:eastAsia="Muli" w:hAnsi="Muli" w:cs="Muli"/>
                <w:color w:val="000000"/>
                <w:sz w:val="20"/>
                <w:szCs w:val="20"/>
              </w:rPr>
              <w:t>Materials include few robust strategies for supporting learners with diverse needs.</w:t>
            </w:r>
          </w:p>
        </w:tc>
      </w:tr>
      <w:tr w:rsidR="00C56CD1" w14:paraId="25384A8C" w14:textId="77777777">
        <w:trPr>
          <w:trHeight w:val="2020"/>
        </w:trPr>
        <w:tc>
          <w:tcPr>
            <w:tcW w:w="6990" w:type="dxa"/>
            <w:tcMar>
              <w:top w:w="99" w:type="dxa"/>
              <w:left w:w="99" w:type="dxa"/>
              <w:bottom w:w="99" w:type="dxa"/>
              <w:right w:w="99" w:type="dxa"/>
            </w:tcMar>
          </w:tcPr>
          <w:p w14:paraId="576BAA1B" w14:textId="77777777" w:rsidR="00C56CD1" w:rsidRDefault="00DA00BA">
            <w:pPr>
              <w:pStyle w:val="normal0"/>
              <w:pBdr>
                <w:top w:val="nil"/>
                <w:left w:val="nil"/>
                <w:bottom w:val="nil"/>
                <w:right w:val="nil"/>
                <w:between w:val="nil"/>
              </w:pBdr>
              <w:spacing w:before="44" w:line="242" w:lineRule="auto"/>
              <w:ind w:left="90"/>
              <w:rPr>
                <w:rFonts w:ascii="Muli" w:eastAsia="Muli" w:hAnsi="Muli" w:cs="Muli"/>
                <w:color w:val="000000"/>
                <w:sz w:val="20"/>
                <w:szCs w:val="20"/>
              </w:rPr>
            </w:pPr>
            <w:r>
              <w:rPr>
                <w:rFonts w:ascii="Muli" w:eastAsia="Muli" w:hAnsi="Muli" w:cs="Muli"/>
                <w:b/>
                <w:color w:val="000000"/>
                <w:sz w:val="20"/>
                <w:szCs w:val="20"/>
              </w:rPr>
              <w:t xml:space="preserve">TS5. Support to Monitor Student Progress. </w:t>
            </w:r>
            <w:r>
              <w:rPr>
                <w:rFonts w:ascii="Muli" w:eastAsia="Muli" w:hAnsi="Muli" w:cs="Muli"/>
                <w:color w:val="000000"/>
                <w:sz w:val="20"/>
                <w:szCs w:val="20"/>
              </w:rPr>
              <w:t>Materials provide support for teachers to:</w:t>
            </w:r>
          </w:p>
          <w:p w14:paraId="5869A925" w14:textId="77777777" w:rsidR="00C56CD1" w:rsidRDefault="00DA00BA">
            <w:pPr>
              <w:pStyle w:val="normal0"/>
              <w:numPr>
                <w:ilvl w:val="0"/>
                <w:numId w:val="1"/>
              </w:numPr>
              <w:pBdr>
                <w:top w:val="nil"/>
                <w:left w:val="nil"/>
                <w:bottom w:val="nil"/>
                <w:right w:val="nil"/>
                <w:between w:val="nil"/>
              </w:pBdr>
              <w:tabs>
                <w:tab w:val="left" w:pos="460"/>
                <w:tab w:val="left" w:pos="461"/>
              </w:tabs>
              <w:spacing w:line="242" w:lineRule="auto"/>
              <w:contextualSpacing/>
              <w:rPr>
                <w:rFonts w:ascii="Muli" w:eastAsia="Muli" w:hAnsi="Muli" w:cs="Muli"/>
                <w:color w:val="000000"/>
                <w:sz w:val="20"/>
                <w:szCs w:val="20"/>
              </w:rPr>
            </w:pPr>
            <w:r>
              <w:rPr>
                <w:rFonts w:ascii="Muli" w:eastAsia="Muli" w:hAnsi="Muli" w:cs="Muli"/>
                <w:color w:val="000000"/>
                <w:sz w:val="20"/>
                <w:szCs w:val="20"/>
              </w:rPr>
              <w:t>monitor student learning and progress over time.</w:t>
            </w:r>
          </w:p>
          <w:p w14:paraId="688ADA63" w14:textId="77777777" w:rsidR="00C56CD1" w:rsidRDefault="00DA00BA">
            <w:pPr>
              <w:pStyle w:val="normal0"/>
              <w:numPr>
                <w:ilvl w:val="0"/>
                <w:numId w:val="1"/>
              </w:numPr>
              <w:pBdr>
                <w:top w:val="nil"/>
                <w:left w:val="nil"/>
                <w:bottom w:val="nil"/>
                <w:right w:val="nil"/>
                <w:between w:val="nil"/>
              </w:pBdr>
              <w:tabs>
                <w:tab w:val="left" w:pos="460"/>
                <w:tab w:val="left" w:pos="461"/>
              </w:tabs>
              <w:spacing w:before="1"/>
              <w:ind w:right="1329"/>
              <w:contextualSpacing/>
              <w:rPr>
                <w:rFonts w:ascii="Muli" w:eastAsia="Muli" w:hAnsi="Muli" w:cs="Muli"/>
                <w:color w:val="000000"/>
                <w:sz w:val="20"/>
                <w:szCs w:val="20"/>
              </w:rPr>
            </w:pPr>
            <w:r>
              <w:rPr>
                <w:rFonts w:ascii="Muli" w:eastAsia="Muli" w:hAnsi="Muli" w:cs="Muli"/>
                <w:color w:val="000000"/>
                <w:sz w:val="20"/>
                <w:szCs w:val="20"/>
              </w:rPr>
              <w:t xml:space="preserve">make decisions about instruction and provide feedback to students. </w:t>
            </w:r>
          </w:p>
          <w:p w14:paraId="31E90206" w14:textId="77777777" w:rsidR="00C56CD1" w:rsidRDefault="00DA00BA">
            <w:pPr>
              <w:pStyle w:val="normal0"/>
              <w:pBdr>
                <w:top w:val="nil"/>
                <w:left w:val="nil"/>
                <w:bottom w:val="nil"/>
                <w:right w:val="nil"/>
                <w:between w:val="nil"/>
              </w:pBdr>
              <w:tabs>
                <w:tab w:val="left" w:pos="460"/>
                <w:tab w:val="left" w:pos="461"/>
              </w:tabs>
              <w:spacing w:before="1"/>
              <w:ind w:left="90" w:right="1329"/>
              <w:rPr>
                <w:rFonts w:ascii="Muli" w:eastAsia="Muli" w:hAnsi="Muli" w:cs="Muli"/>
                <w:color w:val="000000"/>
                <w:sz w:val="20"/>
                <w:szCs w:val="20"/>
              </w:rPr>
            </w:pPr>
            <w:r>
              <w:rPr>
                <w:rFonts w:ascii="Muli" w:eastAsia="Muli" w:hAnsi="Muli" w:cs="Muli"/>
                <w:color w:val="000000"/>
                <w:sz w:val="20"/>
                <w:szCs w:val="20"/>
              </w:rPr>
              <w:t>Refer to SW3, SW4, SP1, SP2, SP3</w:t>
            </w:r>
          </w:p>
        </w:tc>
        <w:tc>
          <w:tcPr>
            <w:tcW w:w="2345" w:type="dxa"/>
            <w:tcMar>
              <w:top w:w="99" w:type="dxa"/>
              <w:left w:w="99" w:type="dxa"/>
              <w:bottom w:w="99" w:type="dxa"/>
              <w:right w:w="99" w:type="dxa"/>
            </w:tcMar>
          </w:tcPr>
          <w:p w14:paraId="52FF75E6" w14:textId="77777777" w:rsidR="00C56CD1" w:rsidRDefault="00DA00BA">
            <w:pPr>
              <w:pStyle w:val="normal0"/>
              <w:pBdr>
                <w:top w:val="nil"/>
                <w:left w:val="nil"/>
                <w:bottom w:val="nil"/>
                <w:right w:val="nil"/>
                <w:between w:val="nil"/>
              </w:pBdr>
              <w:spacing w:before="44"/>
              <w:ind w:left="90" w:right="176"/>
              <w:rPr>
                <w:rFonts w:ascii="Muli" w:eastAsia="Muli" w:hAnsi="Muli" w:cs="Muli"/>
                <w:color w:val="000000"/>
                <w:sz w:val="20"/>
                <w:szCs w:val="20"/>
              </w:rPr>
            </w:pPr>
            <w:r>
              <w:rPr>
                <w:rFonts w:ascii="Muli" w:eastAsia="Muli" w:hAnsi="Muli" w:cs="Muli"/>
                <w:color w:val="000000"/>
                <w:sz w:val="20"/>
                <w:szCs w:val="20"/>
              </w:rPr>
              <w:t>Materials provide robust support for interpreting and using data generated from assessments.</w:t>
            </w:r>
          </w:p>
        </w:tc>
        <w:tc>
          <w:tcPr>
            <w:tcW w:w="2345" w:type="dxa"/>
            <w:tcMar>
              <w:top w:w="99" w:type="dxa"/>
              <w:left w:w="99" w:type="dxa"/>
              <w:bottom w:w="99" w:type="dxa"/>
              <w:right w:w="99" w:type="dxa"/>
            </w:tcMar>
          </w:tcPr>
          <w:p w14:paraId="2D5ACA9A" w14:textId="77777777" w:rsidR="00C56CD1" w:rsidRDefault="00DA00BA">
            <w:pPr>
              <w:pStyle w:val="normal0"/>
              <w:pBdr>
                <w:top w:val="nil"/>
                <w:left w:val="nil"/>
                <w:bottom w:val="nil"/>
                <w:right w:val="nil"/>
                <w:between w:val="nil"/>
              </w:pBdr>
              <w:spacing w:before="44"/>
              <w:ind w:left="90" w:right="176"/>
              <w:rPr>
                <w:rFonts w:ascii="Muli" w:eastAsia="Muli" w:hAnsi="Muli" w:cs="Muli"/>
                <w:color w:val="000000"/>
                <w:sz w:val="20"/>
                <w:szCs w:val="20"/>
              </w:rPr>
            </w:pPr>
            <w:r>
              <w:rPr>
                <w:rFonts w:ascii="Muli" w:eastAsia="Muli" w:hAnsi="Muli" w:cs="Muli"/>
                <w:color w:val="000000"/>
                <w:sz w:val="20"/>
                <w:szCs w:val="20"/>
              </w:rPr>
              <w:t>Materials provide some support for interpreting and using data</w:t>
            </w:r>
            <w:r>
              <w:rPr>
                <w:rFonts w:ascii="Muli" w:eastAsia="Muli" w:hAnsi="Muli" w:cs="Muli"/>
                <w:color w:val="000000"/>
                <w:sz w:val="20"/>
                <w:szCs w:val="20"/>
              </w:rPr>
              <w:t xml:space="preserve"> generated from assessments.</w:t>
            </w:r>
          </w:p>
        </w:tc>
        <w:tc>
          <w:tcPr>
            <w:tcW w:w="2345" w:type="dxa"/>
            <w:tcMar>
              <w:top w:w="99" w:type="dxa"/>
              <w:left w:w="99" w:type="dxa"/>
              <w:bottom w:w="99" w:type="dxa"/>
              <w:right w:w="99" w:type="dxa"/>
            </w:tcMar>
          </w:tcPr>
          <w:p w14:paraId="0F1B4BD1" w14:textId="77777777" w:rsidR="00C56CD1" w:rsidRDefault="00DA00BA">
            <w:pPr>
              <w:pStyle w:val="normal0"/>
              <w:pBdr>
                <w:top w:val="nil"/>
                <w:left w:val="nil"/>
                <w:bottom w:val="nil"/>
                <w:right w:val="nil"/>
                <w:between w:val="nil"/>
              </w:pBdr>
              <w:spacing w:before="44"/>
              <w:ind w:left="90" w:right="175"/>
              <w:rPr>
                <w:rFonts w:ascii="Muli" w:eastAsia="Muli" w:hAnsi="Muli" w:cs="Muli"/>
                <w:color w:val="000000"/>
                <w:sz w:val="20"/>
                <w:szCs w:val="20"/>
              </w:rPr>
            </w:pPr>
            <w:r>
              <w:rPr>
                <w:rFonts w:ascii="Muli" w:eastAsia="Muli" w:hAnsi="Muli" w:cs="Muli"/>
                <w:color w:val="000000"/>
                <w:sz w:val="20"/>
                <w:szCs w:val="20"/>
              </w:rPr>
              <w:t>Materials provide little support for interpreting and using data generated from assessments.</w:t>
            </w:r>
          </w:p>
        </w:tc>
      </w:tr>
    </w:tbl>
    <w:p w14:paraId="7B90AA7B" w14:textId="77777777" w:rsidR="00C56CD1" w:rsidRDefault="00DA00BA">
      <w:pPr>
        <w:pStyle w:val="normal0"/>
        <w:spacing w:before="147"/>
        <w:ind w:left="90"/>
        <w:rPr>
          <w:rFonts w:ascii="Muli" w:eastAsia="Muli" w:hAnsi="Muli" w:cs="Muli"/>
          <w:b/>
          <w:color w:val="FF126D"/>
          <w:sz w:val="28"/>
          <w:szCs w:val="28"/>
        </w:rPr>
      </w:pPr>
      <w:r>
        <w:br w:type="page"/>
      </w:r>
    </w:p>
    <w:p w14:paraId="77E937C7" w14:textId="77777777" w:rsidR="00C56CD1" w:rsidRDefault="00DA00BA">
      <w:pPr>
        <w:pStyle w:val="normal0"/>
        <w:spacing w:before="147"/>
        <w:ind w:left="90"/>
        <w:rPr>
          <w:rFonts w:ascii="Muli" w:eastAsia="Muli" w:hAnsi="Muli" w:cs="Muli"/>
          <w:b/>
          <w:color w:val="2F5496"/>
          <w:sz w:val="28"/>
          <w:szCs w:val="28"/>
        </w:rPr>
      </w:pPr>
      <w:r>
        <w:rPr>
          <w:rFonts w:ascii="Muli" w:eastAsia="Muli" w:hAnsi="Muli" w:cs="Muli"/>
          <w:b/>
          <w:color w:val="FF126D"/>
          <w:sz w:val="28"/>
          <w:szCs w:val="28"/>
        </w:rPr>
        <w:lastRenderedPageBreak/>
        <w:t>Designed for NGSS: Teacher Support Rubric</w:t>
      </w:r>
    </w:p>
    <w:p w14:paraId="490DBA50" w14:textId="77777777" w:rsidR="00C56CD1" w:rsidRDefault="00DA00BA">
      <w:pPr>
        <w:pStyle w:val="normal0"/>
        <w:spacing w:before="147"/>
        <w:ind w:left="90"/>
        <w:rPr>
          <w:rFonts w:ascii="Muli" w:eastAsia="Muli" w:hAnsi="Muli" w:cs="Muli"/>
          <w:b/>
          <w:sz w:val="20"/>
          <w:szCs w:val="20"/>
        </w:rPr>
      </w:pPr>
      <w:r>
        <w:rPr>
          <w:rFonts w:ascii="Muli" w:eastAsia="Muli" w:hAnsi="Muli" w:cs="Muli"/>
          <w:b/>
          <w:sz w:val="20"/>
          <w:szCs w:val="20"/>
        </w:rPr>
        <w:t>Analyze Evidence</w:t>
      </w:r>
    </w:p>
    <w:p w14:paraId="2EB173FE" w14:textId="77777777" w:rsidR="00C56CD1" w:rsidRDefault="00DA00BA">
      <w:pPr>
        <w:pStyle w:val="normal0"/>
        <w:spacing w:before="147"/>
        <w:ind w:left="90"/>
        <w:rPr>
          <w:rFonts w:ascii="Muli" w:eastAsia="Muli" w:hAnsi="Muli" w:cs="Muli"/>
          <w:sz w:val="28"/>
          <w:szCs w:val="28"/>
        </w:rPr>
      </w:pPr>
      <w:r>
        <w:rPr>
          <w:rFonts w:ascii="Muli" w:eastAsia="Muli" w:hAnsi="Muli" w:cs="Muli"/>
          <w:b/>
          <w:sz w:val="20"/>
          <w:szCs w:val="20"/>
        </w:rPr>
        <w:t>Directions:</w:t>
      </w:r>
    </w:p>
    <w:p w14:paraId="68BBA473" w14:textId="77777777" w:rsidR="00C56CD1" w:rsidRDefault="00DA00BA" w:rsidP="00A67DBC">
      <w:pPr>
        <w:pStyle w:val="normal0"/>
        <w:numPr>
          <w:ilvl w:val="0"/>
          <w:numId w:val="26"/>
        </w:numPr>
        <w:tabs>
          <w:tab w:val="left" w:pos="1393"/>
          <w:tab w:val="left" w:pos="1394"/>
        </w:tabs>
        <w:spacing w:before="157" w:line="242" w:lineRule="auto"/>
        <w:rPr>
          <w:rFonts w:ascii="Muli" w:eastAsia="Muli" w:hAnsi="Muli" w:cs="Muli"/>
        </w:rPr>
      </w:pPr>
      <w:r>
        <w:rPr>
          <w:rFonts w:ascii="Muli" w:eastAsia="Muli" w:hAnsi="Muli" w:cs="Muli"/>
          <w:sz w:val="20"/>
          <w:szCs w:val="20"/>
        </w:rPr>
        <w:t>Review th</w:t>
      </w:r>
      <w:r w:rsidR="00A67DBC">
        <w:rPr>
          <w:rFonts w:ascii="Muli" w:eastAsia="Muli" w:hAnsi="Muli" w:cs="Muli"/>
          <w:sz w:val="20"/>
          <w:szCs w:val="20"/>
        </w:rPr>
        <w:t>e Designed for NGSS: Teacher Support</w:t>
      </w:r>
      <w:r>
        <w:rPr>
          <w:rFonts w:ascii="Muli" w:eastAsia="Muli" w:hAnsi="Muli" w:cs="Muli"/>
          <w:sz w:val="20"/>
          <w:szCs w:val="20"/>
        </w:rPr>
        <w:t xml:space="preserve"> Rubric.</w:t>
      </w:r>
      <w:bookmarkStart w:id="0" w:name="_GoBack"/>
      <w:bookmarkEnd w:id="0"/>
    </w:p>
    <w:p w14:paraId="01A0AD11" w14:textId="77777777" w:rsidR="00C56CD1" w:rsidRDefault="00DA00BA" w:rsidP="00A67DBC">
      <w:pPr>
        <w:pStyle w:val="normal0"/>
        <w:numPr>
          <w:ilvl w:val="0"/>
          <w:numId w:val="26"/>
        </w:numPr>
        <w:tabs>
          <w:tab w:val="left" w:pos="1393"/>
          <w:tab w:val="left" w:pos="1394"/>
        </w:tabs>
        <w:spacing w:line="242" w:lineRule="auto"/>
        <w:rPr>
          <w:rFonts w:ascii="Muli" w:eastAsia="Muli" w:hAnsi="Muli" w:cs="Muli"/>
        </w:rPr>
      </w:pPr>
      <w:r>
        <w:rPr>
          <w:rFonts w:ascii="Muli" w:eastAsia="Muli" w:hAnsi="Muli" w:cs="Muli"/>
          <w:sz w:val="20"/>
          <w:szCs w:val="20"/>
        </w:rPr>
        <w:t>Reflect on the evidence (or lack of evidence) that you and your team gathered and represented.</w:t>
      </w:r>
    </w:p>
    <w:p w14:paraId="0C1C1E20" w14:textId="77777777" w:rsidR="00C56CD1" w:rsidRDefault="00DA00BA" w:rsidP="00A67DBC">
      <w:pPr>
        <w:pStyle w:val="normal0"/>
        <w:numPr>
          <w:ilvl w:val="0"/>
          <w:numId w:val="26"/>
        </w:numPr>
        <w:tabs>
          <w:tab w:val="left" w:pos="1393"/>
          <w:tab w:val="left" w:pos="1394"/>
        </w:tabs>
        <w:spacing w:before="1"/>
        <w:rPr>
          <w:rFonts w:ascii="Muli" w:eastAsia="Muli" w:hAnsi="Muli" w:cs="Muli"/>
        </w:rPr>
      </w:pPr>
      <w:r>
        <w:rPr>
          <w:rFonts w:ascii="Muli" w:eastAsia="Muli" w:hAnsi="Muli" w:cs="Muli"/>
          <w:sz w:val="20"/>
          <w:szCs w:val="20"/>
        </w:rPr>
        <w:t>Record strengths and limitations for each criterion based on your evidence. Cite specific examples.</w:t>
      </w:r>
    </w:p>
    <w:p w14:paraId="2DBC66E7" w14:textId="77777777" w:rsidR="00C56CD1" w:rsidRDefault="00C56CD1">
      <w:pPr>
        <w:pStyle w:val="normal0"/>
        <w:spacing w:before="11"/>
        <w:ind w:left="90"/>
        <w:rPr>
          <w:rFonts w:ascii="Muli" w:eastAsia="Muli" w:hAnsi="Muli" w:cs="Muli"/>
          <w:sz w:val="20"/>
          <w:szCs w:val="20"/>
        </w:rPr>
      </w:pPr>
    </w:p>
    <w:tbl>
      <w:tblPr>
        <w:tblStyle w:val="a9"/>
        <w:tblW w:w="14614"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49"/>
        <w:gridCol w:w="4665"/>
      </w:tblGrid>
      <w:tr w:rsidR="00C56CD1" w14:paraId="1E1D49D1" w14:textId="77777777">
        <w:trPr>
          <w:trHeight w:val="500"/>
        </w:trPr>
        <w:tc>
          <w:tcPr>
            <w:tcW w:w="14614" w:type="dxa"/>
            <w:gridSpan w:val="2"/>
            <w:shd w:val="clear" w:color="auto" w:fill="FF126D"/>
            <w:tcMar>
              <w:top w:w="99" w:type="dxa"/>
              <w:left w:w="99" w:type="dxa"/>
              <w:bottom w:w="99" w:type="dxa"/>
              <w:right w:w="99" w:type="dxa"/>
            </w:tcMar>
          </w:tcPr>
          <w:p w14:paraId="2FC47084" w14:textId="77777777" w:rsidR="00C56CD1" w:rsidRDefault="00DA00BA">
            <w:pPr>
              <w:pStyle w:val="normal0"/>
              <w:spacing w:before="69"/>
              <w:ind w:left="90" w:right="2262"/>
              <w:rPr>
                <w:rFonts w:ascii="Muli" w:eastAsia="Muli" w:hAnsi="Muli" w:cs="Muli"/>
                <w:b/>
                <w:sz w:val="20"/>
                <w:szCs w:val="20"/>
              </w:rPr>
            </w:pPr>
            <w:r>
              <w:rPr>
                <w:rFonts w:ascii="Muli" w:eastAsia="Muli" w:hAnsi="Muli" w:cs="Muli"/>
                <w:b/>
                <w:color w:val="FFFFFF"/>
                <w:sz w:val="20"/>
                <w:szCs w:val="20"/>
              </w:rPr>
              <w:t>Strengths</w:t>
            </w:r>
          </w:p>
        </w:tc>
      </w:tr>
      <w:tr w:rsidR="00C56CD1" w14:paraId="3D6696E8" w14:textId="77777777">
        <w:trPr>
          <w:trHeight w:val="480"/>
        </w:trPr>
        <w:tc>
          <w:tcPr>
            <w:tcW w:w="14614" w:type="dxa"/>
            <w:gridSpan w:val="2"/>
            <w:shd w:val="clear" w:color="auto" w:fill="CCCCCC"/>
            <w:tcMar>
              <w:top w:w="99" w:type="dxa"/>
              <w:left w:w="99" w:type="dxa"/>
              <w:bottom w:w="99" w:type="dxa"/>
              <w:right w:w="99" w:type="dxa"/>
            </w:tcMar>
          </w:tcPr>
          <w:p w14:paraId="64A58830" w14:textId="77777777" w:rsidR="00C56CD1" w:rsidRDefault="00DA00BA">
            <w:pPr>
              <w:pStyle w:val="normal0"/>
              <w:spacing w:before="44"/>
              <w:ind w:left="90" w:right="351"/>
              <w:rPr>
                <w:rFonts w:ascii="Muli" w:eastAsia="Muli" w:hAnsi="Muli" w:cs="Muli"/>
                <w:b/>
                <w:color w:val="FFFFFF"/>
                <w:sz w:val="20"/>
                <w:szCs w:val="20"/>
              </w:rPr>
            </w:pPr>
            <w:r>
              <w:rPr>
                <w:rFonts w:ascii="Muli" w:eastAsia="Muli" w:hAnsi="Muli" w:cs="Muli"/>
                <w:b/>
                <w:sz w:val="20"/>
                <w:szCs w:val="20"/>
              </w:rPr>
              <w:t>TS1. Phenomenon/Problem Driven Three-Dimensional Learning.</w:t>
            </w:r>
          </w:p>
        </w:tc>
      </w:tr>
      <w:tr w:rsidR="00C56CD1" w14:paraId="0224215A" w14:textId="77777777">
        <w:trPr>
          <w:trHeight w:val="900"/>
        </w:trPr>
        <w:tc>
          <w:tcPr>
            <w:tcW w:w="14614" w:type="dxa"/>
            <w:gridSpan w:val="2"/>
            <w:shd w:val="clear" w:color="auto" w:fill="F3F3F3"/>
            <w:tcMar>
              <w:top w:w="99" w:type="dxa"/>
              <w:left w:w="99" w:type="dxa"/>
              <w:bottom w:w="99" w:type="dxa"/>
              <w:right w:w="99" w:type="dxa"/>
            </w:tcMar>
          </w:tcPr>
          <w:p w14:paraId="23B80F03" w14:textId="77777777" w:rsidR="00C56CD1" w:rsidRDefault="00DA00BA">
            <w:pPr>
              <w:pStyle w:val="normal0"/>
              <w:spacing w:before="42"/>
              <w:ind w:left="90"/>
              <w:rPr>
                <w:rFonts w:ascii="Muli" w:eastAsia="Muli" w:hAnsi="Muli" w:cs="Muli"/>
                <w:b/>
                <w:sz w:val="20"/>
                <w:szCs w:val="20"/>
              </w:rPr>
            </w:pPr>
            <w:r>
              <w:rPr>
                <w:rFonts w:ascii="Muli" w:eastAsia="Muli" w:hAnsi="Muli" w:cs="Muli"/>
                <w:b/>
                <w:color w:val="2F5496"/>
                <w:sz w:val="20"/>
                <w:szCs w:val="20"/>
              </w:rPr>
              <w:t>The Module materials are High Quality 5 in regards to TS1.</w:t>
            </w:r>
          </w:p>
          <w:p w14:paraId="67249990" w14:textId="77777777" w:rsidR="00C56CD1" w:rsidRDefault="00DA00BA">
            <w:pPr>
              <w:pStyle w:val="normal0"/>
              <w:spacing w:before="44"/>
              <w:ind w:left="90" w:right="122"/>
              <w:rPr>
                <w:rFonts w:ascii="Muli" w:eastAsia="Muli" w:hAnsi="Muli" w:cs="Muli"/>
                <w:b/>
                <w:color w:val="2F5496"/>
                <w:sz w:val="20"/>
                <w:szCs w:val="20"/>
              </w:rPr>
            </w:pPr>
            <w:r>
              <w:rPr>
                <w:rFonts w:ascii="Muli" w:eastAsia="Muli" w:hAnsi="Muli" w:cs="Muli"/>
                <w:sz w:val="20"/>
                <w:szCs w:val="20"/>
              </w:rPr>
              <w:t>They provide clear guidance to teachers on how students develop, use, and integrate the three dimensions to make sense of phenomena or design solutions to problems.</w:t>
            </w:r>
          </w:p>
        </w:tc>
      </w:tr>
      <w:tr w:rsidR="00C56CD1" w14:paraId="12ECF6E7" w14:textId="77777777">
        <w:trPr>
          <w:trHeight w:val="4220"/>
        </w:trPr>
        <w:tc>
          <w:tcPr>
            <w:tcW w:w="14614" w:type="dxa"/>
            <w:gridSpan w:val="2"/>
            <w:tcMar>
              <w:top w:w="99" w:type="dxa"/>
              <w:left w:w="99" w:type="dxa"/>
              <w:bottom w:w="99" w:type="dxa"/>
              <w:right w:w="99" w:type="dxa"/>
            </w:tcMar>
          </w:tcPr>
          <w:p w14:paraId="3F202CB9" w14:textId="77777777" w:rsidR="00C56CD1" w:rsidRDefault="00DA00BA">
            <w:pPr>
              <w:pStyle w:val="normal0"/>
              <w:ind w:left="90"/>
              <w:rPr>
                <w:rFonts w:ascii="Muli" w:eastAsia="Muli" w:hAnsi="Muli" w:cs="Muli"/>
                <w:b/>
                <w:color w:val="FF126D"/>
                <w:sz w:val="20"/>
                <w:szCs w:val="20"/>
              </w:rPr>
            </w:pPr>
            <w:r>
              <w:rPr>
                <w:rFonts w:ascii="Muli" w:eastAsia="Muli" w:hAnsi="Muli" w:cs="Muli"/>
                <w:b/>
                <w:color w:val="FF126D"/>
                <w:sz w:val="20"/>
                <w:szCs w:val="20"/>
              </w:rPr>
              <w:t>Evidence</w:t>
            </w:r>
          </w:p>
          <w:p w14:paraId="5060836F" w14:textId="77777777" w:rsidR="00C56CD1" w:rsidRDefault="00DA00BA">
            <w:pPr>
              <w:pStyle w:val="normal0"/>
              <w:numPr>
                <w:ilvl w:val="0"/>
                <w:numId w:val="21"/>
              </w:numPr>
              <w:ind w:right="360"/>
              <w:contextualSpacing/>
              <w:rPr>
                <w:rFonts w:ascii="Muli" w:eastAsia="Muli" w:hAnsi="Muli" w:cs="Muli"/>
                <w:sz w:val="20"/>
                <w:szCs w:val="20"/>
              </w:rPr>
            </w:pPr>
            <w:r>
              <w:rPr>
                <w:rFonts w:ascii="Muli" w:eastAsia="Muli" w:hAnsi="Muli" w:cs="Muli"/>
                <w:sz w:val="20"/>
                <w:szCs w:val="20"/>
              </w:rPr>
              <w:t>The flow of DCIs, SEPs, and CCCs follow a logical sequence supporting students to gain expertise of the practices and concepts they need to address the Module Phenomenon.</w:t>
            </w:r>
          </w:p>
          <w:p w14:paraId="219F1C15" w14:textId="77777777" w:rsidR="00C56CD1" w:rsidRDefault="00DA00BA">
            <w:pPr>
              <w:pStyle w:val="normal0"/>
              <w:numPr>
                <w:ilvl w:val="0"/>
                <w:numId w:val="21"/>
              </w:numPr>
              <w:ind w:right="360"/>
              <w:contextualSpacing/>
              <w:jc w:val="both"/>
              <w:rPr>
                <w:rFonts w:ascii="Muli" w:eastAsia="Muli" w:hAnsi="Muli" w:cs="Muli"/>
                <w:sz w:val="20"/>
                <w:szCs w:val="20"/>
              </w:rPr>
            </w:pPr>
            <w:r>
              <w:rPr>
                <w:rFonts w:ascii="Muli" w:eastAsia="Muli" w:hAnsi="Muli" w:cs="Muli"/>
                <w:b/>
                <w:sz w:val="20"/>
                <w:szCs w:val="20"/>
              </w:rPr>
              <w:t>DQ1: How do animal behaviors and plant structures affect their survival and reproduct</w:t>
            </w:r>
            <w:r>
              <w:rPr>
                <w:rFonts w:ascii="Muli" w:eastAsia="Muli" w:hAnsi="Muli" w:cs="Muli"/>
                <w:b/>
                <w:sz w:val="20"/>
                <w:szCs w:val="20"/>
              </w:rPr>
              <w:t xml:space="preserve">ion?  </w:t>
            </w:r>
            <w:r>
              <w:rPr>
                <w:rFonts w:ascii="Muli" w:eastAsia="Muli" w:hAnsi="Muli" w:cs="Muli"/>
                <w:sz w:val="20"/>
                <w:szCs w:val="20"/>
              </w:rPr>
              <w:t xml:space="preserve">Students obtain information from texts and videos about animal courtship rituals (SEP-8, LS1.B, CCC-1, CCC-2). They consider the question “How do animals help their offspring survive?” (LS1.B, CCC-2) and develop an answer through video observations, </w:t>
            </w:r>
            <w:r>
              <w:rPr>
                <w:rFonts w:ascii="Muli" w:eastAsia="Muli" w:hAnsi="Muli" w:cs="Muli"/>
                <w:sz w:val="20"/>
                <w:szCs w:val="20"/>
              </w:rPr>
              <w:t>analysis of scientific data, and discussions (SEP-4, SEP-7, SEP-8).</w:t>
            </w:r>
          </w:p>
          <w:p w14:paraId="7005148A" w14:textId="77777777" w:rsidR="00C56CD1" w:rsidRDefault="00DA00BA">
            <w:pPr>
              <w:pStyle w:val="normal0"/>
              <w:numPr>
                <w:ilvl w:val="0"/>
                <w:numId w:val="21"/>
              </w:numPr>
              <w:ind w:right="360"/>
              <w:contextualSpacing/>
              <w:jc w:val="both"/>
              <w:rPr>
                <w:rFonts w:ascii="Muli" w:eastAsia="Muli" w:hAnsi="Muli" w:cs="Muli"/>
                <w:sz w:val="20"/>
                <w:szCs w:val="20"/>
              </w:rPr>
            </w:pPr>
            <w:r>
              <w:rPr>
                <w:rFonts w:ascii="Muli" w:eastAsia="Muli" w:hAnsi="Muli" w:cs="Muli"/>
                <w:b/>
                <w:sz w:val="20"/>
                <w:szCs w:val="20"/>
              </w:rPr>
              <w:t xml:space="preserve">DQ2: How do species reproduce? </w:t>
            </w:r>
            <w:r>
              <w:rPr>
                <w:rFonts w:ascii="Muli" w:eastAsia="Muli" w:hAnsi="Muli" w:cs="Muli"/>
                <w:sz w:val="20"/>
                <w:szCs w:val="20"/>
              </w:rPr>
              <w:t>Students develop genetic models to demonstrate how traits are passed from both plant and animal parents to offspring (LS3.A, SEP-2, CCC-2), compare asexual a</w:t>
            </w:r>
            <w:r>
              <w:rPr>
                <w:rFonts w:ascii="Muli" w:eastAsia="Muli" w:hAnsi="Muli" w:cs="Muli"/>
                <w:sz w:val="20"/>
                <w:szCs w:val="20"/>
              </w:rPr>
              <w:t>nd sexual reproduction (LS1.B, LS3.A, LS3.B, SEP-7, CCC-2), and research the reproductive strategies of their chosen endangered species (SEP-8, CCC-6).</w:t>
            </w:r>
          </w:p>
          <w:p w14:paraId="0DF1D3D8" w14:textId="77777777" w:rsidR="00C56CD1" w:rsidRDefault="00DA00BA">
            <w:pPr>
              <w:pStyle w:val="normal0"/>
              <w:numPr>
                <w:ilvl w:val="0"/>
                <w:numId w:val="21"/>
              </w:numPr>
              <w:ind w:right="360"/>
              <w:contextualSpacing/>
              <w:jc w:val="both"/>
              <w:rPr>
                <w:rFonts w:ascii="Muli" w:eastAsia="Muli" w:hAnsi="Muli" w:cs="Muli"/>
                <w:sz w:val="20"/>
                <w:szCs w:val="20"/>
              </w:rPr>
            </w:pPr>
            <w:r>
              <w:rPr>
                <w:rFonts w:ascii="Muli" w:eastAsia="Muli" w:hAnsi="Muli" w:cs="Muli"/>
                <w:b/>
                <w:sz w:val="20"/>
                <w:szCs w:val="20"/>
              </w:rPr>
              <w:t xml:space="preserve">DQ3: How do environmental and genetic factors influence the growth of an organism? </w:t>
            </w:r>
            <w:r>
              <w:rPr>
                <w:rFonts w:ascii="Muli" w:eastAsia="Muli" w:hAnsi="Muli" w:cs="Muli"/>
                <w:sz w:val="20"/>
                <w:szCs w:val="20"/>
              </w:rPr>
              <w:t>Students consider pat</w:t>
            </w:r>
            <w:r>
              <w:rPr>
                <w:rFonts w:ascii="Muli" w:eastAsia="Muli" w:hAnsi="Muli" w:cs="Muli"/>
                <w:sz w:val="20"/>
                <w:szCs w:val="20"/>
              </w:rPr>
              <w:t xml:space="preserve">terns (CCC-1), cause and effect (CCC-2), and scale, proportion, and quantity (CCC-3) as they analyze several scientific studies (SEP-4, SEP-5) to determine how environmental and genetic factors influence the growth of an organism (LS1.B). </w:t>
            </w:r>
          </w:p>
          <w:p w14:paraId="1158B38E" w14:textId="77777777" w:rsidR="00C56CD1" w:rsidRDefault="00DA00BA">
            <w:pPr>
              <w:pStyle w:val="normal0"/>
              <w:numPr>
                <w:ilvl w:val="0"/>
                <w:numId w:val="21"/>
              </w:numPr>
              <w:ind w:right="360"/>
              <w:contextualSpacing/>
              <w:jc w:val="both"/>
              <w:rPr>
                <w:rFonts w:ascii="Muli" w:eastAsia="Muli" w:hAnsi="Muli" w:cs="Muli"/>
                <w:sz w:val="20"/>
                <w:szCs w:val="20"/>
              </w:rPr>
            </w:pPr>
            <w:r>
              <w:rPr>
                <w:rFonts w:ascii="Muli" w:eastAsia="Muli" w:hAnsi="Muli" w:cs="Muli"/>
                <w:b/>
                <w:sz w:val="20"/>
                <w:szCs w:val="20"/>
              </w:rPr>
              <w:t>DQ4: How do we p</w:t>
            </w:r>
            <w:r>
              <w:rPr>
                <w:rFonts w:ascii="Muli" w:eastAsia="Muli" w:hAnsi="Muli" w:cs="Muli"/>
                <w:b/>
                <w:sz w:val="20"/>
                <w:szCs w:val="20"/>
              </w:rPr>
              <w:t>rotect endangered species?</w:t>
            </w:r>
            <w:r>
              <w:rPr>
                <w:rFonts w:ascii="Muli" w:eastAsia="Muli" w:hAnsi="Muli" w:cs="Muli"/>
                <w:sz w:val="20"/>
                <w:szCs w:val="20"/>
              </w:rPr>
              <w:t xml:space="preserve"> Students research their chosen endangered species and devise conservation plans to improve the growth and reproduction of members in the species, considering how genetics might be affected (SEP-1, SEP-6, SEP-7, SEP-8, CCC-2, LS1.</w:t>
            </w:r>
            <w:r>
              <w:rPr>
                <w:rFonts w:ascii="Muli" w:eastAsia="Muli" w:hAnsi="Muli" w:cs="Muli"/>
                <w:sz w:val="20"/>
                <w:szCs w:val="20"/>
              </w:rPr>
              <w:t>B, ETS1.A). Students close the module with a ‘World Conservation Symposium,’ working with teammates to evaluate their individual plans and create a collaborative conservation plan (ETS1.B, SEP-6, SEP-8).</w:t>
            </w:r>
          </w:p>
        </w:tc>
      </w:tr>
      <w:tr w:rsidR="00C56CD1" w14:paraId="576559BA" w14:textId="77777777">
        <w:trPr>
          <w:trHeight w:val="360"/>
        </w:trPr>
        <w:tc>
          <w:tcPr>
            <w:tcW w:w="14614" w:type="dxa"/>
            <w:gridSpan w:val="2"/>
            <w:shd w:val="clear" w:color="auto" w:fill="CCCCCC"/>
          </w:tcPr>
          <w:p w14:paraId="27C8A4C1" w14:textId="77777777" w:rsidR="00C56CD1" w:rsidRDefault="00DA00BA">
            <w:pPr>
              <w:pStyle w:val="normal0"/>
              <w:spacing w:before="42"/>
              <w:ind w:left="90"/>
              <w:rPr>
                <w:rFonts w:ascii="Muli" w:eastAsia="Muli" w:hAnsi="Muli" w:cs="Muli"/>
                <w:b/>
                <w:sz w:val="20"/>
                <w:szCs w:val="20"/>
              </w:rPr>
            </w:pPr>
            <w:r>
              <w:rPr>
                <w:rFonts w:ascii="Muli" w:eastAsia="Muli" w:hAnsi="Muli" w:cs="Muli"/>
                <w:b/>
                <w:sz w:val="20"/>
                <w:szCs w:val="20"/>
              </w:rPr>
              <w:lastRenderedPageBreak/>
              <w:t>TS2. Coherence.</w:t>
            </w:r>
          </w:p>
        </w:tc>
      </w:tr>
      <w:tr w:rsidR="00C56CD1" w14:paraId="43A5ACC2" w14:textId="77777777">
        <w:trPr>
          <w:trHeight w:val="980"/>
        </w:trPr>
        <w:tc>
          <w:tcPr>
            <w:tcW w:w="14614" w:type="dxa"/>
            <w:gridSpan w:val="2"/>
            <w:shd w:val="clear" w:color="auto" w:fill="F3F3F3"/>
            <w:tcMar>
              <w:top w:w="99" w:type="dxa"/>
              <w:left w:w="99" w:type="dxa"/>
              <w:bottom w:w="99" w:type="dxa"/>
              <w:right w:w="99" w:type="dxa"/>
            </w:tcMar>
          </w:tcPr>
          <w:p w14:paraId="663017B3" w14:textId="77777777" w:rsidR="00C56CD1" w:rsidRDefault="00DA00BA">
            <w:pPr>
              <w:pStyle w:val="normal0"/>
              <w:spacing w:before="42"/>
              <w:ind w:left="90"/>
              <w:rPr>
                <w:rFonts w:ascii="Muli" w:eastAsia="Muli" w:hAnsi="Muli" w:cs="Muli"/>
                <w:b/>
                <w:color w:val="2F5496"/>
                <w:sz w:val="20"/>
                <w:szCs w:val="20"/>
              </w:rPr>
            </w:pPr>
            <w:r>
              <w:rPr>
                <w:rFonts w:ascii="Muli" w:eastAsia="Muli" w:hAnsi="Muli" w:cs="Muli"/>
                <w:b/>
                <w:color w:val="2F5496"/>
                <w:sz w:val="20"/>
                <w:szCs w:val="20"/>
              </w:rPr>
              <w:t>The Module materials are High Quality 5 in regards to TS2.</w:t>
            </w:r>
          </w:p>
          <w:p w14:paraId="5E0A13C7" w14:textId="77777777" w:rsidR="00C56CD1" w:rsidRDefault="00DA00BA">
            <w:pPr>
              <w:pStyle w:val="normal0"/>
              <w:spacing w:before="42"/>
              <w:ind w:left="90"/>
              <w:rPr>
                <w:rFonts w:ascii="Muli" w:eastAsia="Muli" w:hAnsi="Muli" w:cs="Muli"/>
                <w:b/>
                <w:color w:val="FF126D"/>
                <w:sz w:val="20"/>
                <w:szCs w:val="20"/>
              </w:rPr>
            </w:pPr>
            <w:r>
              <w:rPr>
                <w:rFonts w:ascii="Muli" w:eastAsia="Muli" w:hAnsi="Muli" w:cs="Muli"/>
                <w:sz w:val="20"/>
                <w:szCs w:val="20"/>
              </w:rPr>
              <w:t xml:space="preserve">They provide teachers with a clear conceptual framework in a logical sequence, strategies for linking student experiences across lessons, and connections to other science domains, CNS (NoS), CETAS </w:t>
            </w:r>
            <w:r>
              <w:rPr>
                <w:rFonts w:ascii="Muli" w:eastAsia="Muli" w:hAnsi="Muli" w:cs="Muli"/>
                <w:sz w:val="20"/>
                <w:szCs w:val="20"/>
              </w:rPr>
              <w:t>(ETS), math, and ELA.</w:t>
            </w:r>
          </w:p>
        </w:tc>
      </w:tr>
      <w:tr w:rsidR="00C56CD1" w14:paraId="309816FA" w14:textId="77777777">
        <w:trPr>
          <w:trHeight w:val="5160"/>
        </w:trPr>
        <w:tc>
          <w:tcPr>
            <w:tcW w:w="14614" w:type="dxa"/>
            <w:gridSpan w:val="2"/>
            <w:tcMar>
              <w:top w:w="99" w:type="dxa"/>
              <w:left w:w="99" w:type="dxa"/>
              <w:bottom w:w="99" w:type="dxa"/>
              <w:right w:w="99" w:type="dxa"/>
            </w:tcMar>
          </w:tcPr>
          <w:p w14:paraId="45E164CB" w14:textId="77777777" w:rsidR="00C56CD1" w:rsidRDefault="00DA00BA">
            <w:pPr>
              <w:pStyle w:val="normal0"/>
              <w:ind w:left="90"/>
              <w:rPr>
                <w:rFonts w:ascii="Muli" w:eastAsia="Muli" w:hAnsi="Muli" w:cs="Muli"/>
                <w:b/>
                <w:color w:val="FF126D"/>
                <w:sz w:val="20"/>
                <w:szCs w:val="20"/>
              </w:rPr>
            </w:pPr>
            <w:r>
              <w:rPr>
                <w:rFonts w:ascii="Muli" w:eastAsia="Muli" w:hAnsi="Muli" w:cs="Muli"/>
                <w:b/>
                <w:color w:val="FF126D"/>
                <w:sz w:val="20"/>
                <w:szCs w:val="20"/>
              </w:rPr>
              <w:t>Evidence</w:t>
            </w:r>
          </w:p>
          <w:p w14:paraId="72E4A32C" w14:textId="77777777" w:rsidR="00C56CD1" w:rsidRDefault="00DA00BA">
            <w:pPr>
              <w:pStyle w:val="normal0"/>
              <w:numPr>
                <w:ilvl w:val="0"/>
                <w:numId w:val="5"/>
              </w:numPr>
              <w:ind w:right="360"/>
              <w:contextualSpacing/>
              <w:rPr>
                <w:rFonts w:ascii="Muli" w:eastAsia="Muli" w:hAnsi="Muli" w:cs="Muli"/>
                <w:sz w:val="20"/>
                <w:szCs w:val="20"/>
              </w:rPr>
            </w:pPr>
            <w:r>
              <w:rPr>
                <w:rFonts w:ascii="Muli" w:eastAsia="Muli" w:hAnsi="Muli" w:cs="Muli"/>
                <w:sz w:val="20"/>
                <w:szCs w:val="20"/>
              </w:rPr>
              <w:t>The Module Phenomenon challenges students to be creative problem solvers, immersing them in engaging challenges that require mastery of the three dimensions of NGSS to solve. The instructional materials have been designed to support the teacher to guide st</w:t>
            </w:r>
            <w:r>
              <w:rPr>
                <w:rFonts w:ascii="Muli" w:eastAsia="Muli" w:hAnsi="Muli" w:cs="Muli"/>
                <w:sz w:val="20"/>
                <w:szCs w:val="20"/>
              </w:rPr>
              <w:t>udents on a scaffolded learning journey to solve the Module Phenomenon: How do the environment and genetics affect animals and plants? They tackle the problem one Driving Question at a time, applying the three dimensions with increasing sophistication, bui</w:t>
            </w:r>
            <w:r>
              <w:rPr>
                <w:rFonts w:ascii="Muli" w:eastAsia="Muli" w:hAnsi="Muli" w:cs="Muli"/>
                <w:sz w:val="20"/>
                <w:szCs w:val="20"/>
              </w:rPr>
              <w:t>lding the skills and knowledge they need through a series of investigations.</w:t>
            </w:r>
          </w:p>
          <w:p w14:paraId="4854D09C" w14:textId="77777777" w:rsidR="00C56CD1" w:rsidRDefault="00DA00BA">
            <w:pPr>
              <w:pStyle w:val="normal0"/>
              <w:numPr>
                <w:ilvl w:val="0"/>
                <w:numId w:val="5"/>
              </w:numPr>
              <w:ind w:right="360"/>
              <w:contextualSpacing/>
              <w:rPr>
                <w:rFonts w:ascii="Muli" w:eastAsia="Muli" w:hAnsi="Muli" w:cs="Muli"/>
                <w:sz w:val="20"/>
                <w:szCs w:val="20"/>
              </w:rPr>
            </w:pPr>
            <w:r>
              <w:rPr>
                <w:rFonts w:ascii="Muli" w:eastAsia="Muli" w:hAnsi="Muli" w:cs="Muli"/>
                <w:sz w:val="20"/>
                <w:szCs w:val="20"/>
              </w:rPr>
              <w:t xml:space="preserve">The Module Phenomenon targets the DCIs, SEPs, and CCCs explicitly stated in MS-LS1-4, MS-LS1-5, MS-LS3-2, MS-ETS1-1, and MS-EST1-2. </w:t>
            </w:r>
          </w:p>
          <w:p w14:paraId="78D3D3CD" w14:textId="77777777" w:rsidR="00C56CD1" w:rsidRDefault="00DA00BA">
            <w:pPr>
              <w:pStyle w:val="normal0"/>
              <w:numPr>
                <w:ilvl w:val="0"/>
                <w:numId w:val="5"/>
              </w:numPr>
              <w:ind w:right="360"/>
              <w:contextualSpacing/>
              <w:rPr>
                <w:rFonts w:ascii="Muli" w:eastAsia="Muli" w:hAnsi="Muli" w:cs="Muli"/>
                <w:sz w:val="20"/>
                <w:szCs w:val="20"/>
              </w:rPr>
            </w:pPr>
            <w:r>
              <w:rPr>
                <w:rFonts w:ascii="Muli" w:eastAsia="Muli" w:hAnsi="Muli" w:cs="Muli"/>
                <w:sz w:val="20"/>
                <w:szCs w:val="20"/>
              </w:rPr>
              <w:t>Links are made to previous grades, such as Gra</w:t>
            </w:r>
            <w:r>
              <w:rPr>
                <w:rFonts w:ascii="Muli" w:eastAsia="Muli" w:hAnsi="Muli" w:cs="Muli"/>
                <w:sz w:val="20"/>
                <w:szCs w:val="20"/>
              </w:rPr>
              <w:t>de 5 Module 2 where students also explored the relationships between living things and the environment.</w:t>
            </w:r>
          </w:p>
          <w:p w14:paraId="71714539" w14:textId="77777777" w:rsidR="00C56CD1" w:rsidRDefault="00DA00BA">
            <w:pPr>
              <w:pStyle w:val="normal0"/>
              <w:numPr>
                <w:ilvl w:val="0"/>
                <w:numId w:val="5"/>
              </w:numPr>
              <w:ind w:right="360"/>
              <w:contextualSpacing/>
              <w:rPr>
                <w:rFonts w:ascii="Muli" w:eastAsia="Muli" w:hAnsi="Muli" w:cs="Muli"/>
                <w:sz w:val="20"/>
                <w:szCs w:val="20"/>
              </w:rPr>
            </w:pPr>
            <w:r>
              <w:rPr>
                <w:rFonts w:ascii="Muli" w:eastAsia="Muli" w:hAnsi="Muli" w:cs="Muli"/>
                <w:sz w:val="20"/>
                <w:szCs w:val="20"/>
              </w:rPr>
              <w:t>A digital guide to SEPs and CCCs provides a clear explanation for each practice and concept with guidance on what these skills should look like in a thi</w:t>
            </w:r>
            <w:r>
              <w:rPr>
                <w:rFonts w:ascii="Muli" w:eastAsia="Muli" w:hAnsi="Muli" w:cs="Muli"/>
                <w:sz w:val="20"/>
                <w:szCs w:val="20"/>
              </w:rPr>
              <w:t>rd grade classroom, with specific reference for how students ask questions and develop investigations in Grade 6 Module 3.</w:t>
            </w:r>
          </w:p>
          <w:p w14:paraId="21798F53" w14:textId="77777777" w:rsidR="00C56CD1" w:rsidRDefault="00C56CD1">
            <w:pPr>
              <w:pStyle w:val="normal0"/>
              <w:rPr>
                <w:rFonts w:ascii="Muli" w:eastAsia="Muli" w:hAnsi="Muli" w:cs="Muli"/>
                <w:b/>
                <w:color w:val="FF126D"/>
                <w:sz w:val="20"/>
                <w:szCs w:val="20"/>
              </w:rPr>
            </w:pPr>
          </w:p>
          <w:p w14:paraId="4F7C211E" w14:textId="77777777" w:rsidR="00C56CD1" w:rsidRDefault="00C56CD1">
            <w:pPr>
              <w:pStyle w:val="normal0"/>
              <w:rPr>
                <w:rFonts w:ascii="Muli" w:eastAsia="Muli" w:hAnsi="Muli" w:cs="Muli"/>
                <w:b/>
                <w:color w:val="FF126D"/>
                <w:sz w:val="20"/>
                <w:szCs w:val="20"/>
              </w:rPr>
            </w:pPr>
          </w:p>
          <w:p w14:paraId="680F5E0D" w14:textId="77777777" w:rsidR="00C56CD1" w:rsidRDefault="00C56CD1">
            <w:pPr>
              <w:pStyle w:val="normal0"/>
              <w:rPr>
                <w:rFonts w:ascii="Muli" w:eastAsia="Muli" w:hAnsi="Muli" w:cs="Muli"/>
                <w:b/>
                <w:color w:val="FF126D"/>
                <w:sz w:val="20"/>
                <w:szCs w:val="20"/>
              </w:rPr>
            </w:pPr>
          </w:p>
        </w:tc>
      </w:tr>
      <w:tr w:rsidR="00C56CD1" w14:paraId="39FC62EF" w14:textId="77777777">
        <w:trPr>
          <w:trHeight w:val="5160"/>
        </w:trPr>
        <w:tc>
          <w:tcPr>
            <w:tcW w:w="9949" w:type="dxa"/>
            <w:tcMar>
              <w:top w:w="99" w:type="dxa"/>
              <w:left w:w="99" w:type="dxa"/>
              <w:bottom w:w="99" w:type="dxa"/>
              <w:right w:w="99" w:type="dxa"/>
            </w:tcMar>
          </w:tcPr>
          <w:p w14:paraId="55B65122" w14:textId="77777777" w:rsidR="00C56CD1" w:rsidRDefault="00DA00BA">
            <w:pPr>
              <w:pStyle w:val="normal0"/>
              <w:numPr>
                <w:ilvl w:val="0"/>
                <w:numId w:val="5"/>
              </w:numPr>
              <w:contextualSpacing/>
              <w:rPr>
                <w:rFonts w:ascii="Muli" w:eastAsia="Muli" w:hAnsi="Muli" w:cs="Muli"/>
                <w:sz w:val="20"/>
                <w:szCs w:val="20"/>
              </w:rPr>
            </w:pPr>
            <w:r>
              <w:rPr>
                <w:rFonts w:ascii="Muli" w:eastAsia="Muli" w:hAnsi="Muli" w:cs="Muli"/>
                <w:sz w:val="20"/>
                <w:szCs w:val="20"/>
              </w:rPr>
              <w:lastRenderedPageBreak/>
              <w:t>Additional module-specific support is frequently given at point of use in the instructional materials for all dimensions, often i</w:t>
            </w:r>
            <w:r>
              <w:rPr>
                <w:rFonts w:ascii="Muli" w:eastAsia="Muli" w:hAnsi="Muli" w:cs="Muli"/>
                <w:sz w:val="20"/>
                <w:szCs w:val="20"/>
              </w:rPr>
              <w:t xml:space="preserve">n the Connect. For example, the teacher is guided to connect to LS1.B (Growth and Development of Organisms) in </w:t>
            </w:r>
            <w:r>
              <w:rPr>
                <w:rFonts w:ascii="Muli" w:eastAsia="Muli" w:hAnsi="Muli" w:cs="Muli"/>
                <w:b/>
                <w:color w:val="FF126D"/>
                <w:sz w:val="20"/>
                <w:szCs w:val="20"/>
              </w:rPr>
              <w:t>DQ2L9 TE p. 167</w:t>
            </w:r>
            <w:r>
              <w:rPr>
                <w:rFonts w:ascii="Muli" w:eastAsia="Muli" w:hAnsi="Muli" w:cs="Muli"/>
                <w:sz w:val="20"/>
                <w:szCs w:val="20"/>
              </w:rPr>
              <w:t xml:space="preserve">, and SEP-6 (Constructing Explanations and Designing Solutions) in </w:t>
            </w:r>
            <w:r>
              <w:rPr>
                <w:rFonts w:ascii="Muli" w:eastAsia="Muli" w:hAnsi="Muli" w:cs="Muli"/>
                <w:b/>
                <w:color w:val="FF126D"/>
                <w:sz w:val="20"/>
                <w:szCs w:val="20"/>
              </w:rPr>
              <w:t>DQ3L5 TE p. 221</w:t>
            </w:r>
            <w:r>
              <w:rPr>
                <w:rFonts w:ascii="Muli" w:eastAsia="Muli" w:hAnsi="Muli" w:cs="Muli"/>
                <w:sz w:val="20"/>
                <w:szCs w:val="20"/>
              </w:rPr>
              <w:t xml:space="preserve">. The teacher is also guided to connect to the Nature of Science (Science Is Based on Empirical Evidence) in </w:t>
            </w:r>
            <w:r>
              <w:rPr>
                <w:rFonts w:ascii="Muli" w:eastAsia="Muli" w:hAnsi="Muli" w:cs="Muli"/>
                <w:b/>
                <w:color w:val="FF126D"/>
                <w:sz w:val="20"/>
                <w:szCs w:val="20"/>
              </w:rPr>
              <w:t>DQ2L2 TE p. 110</w:t>
            </w:r>
            <w:r>
              <w:rPr>
                <w:rFonts w:ascii="Muli" w:eastAsia="Muli" w:hAnsi="Muli" w:cs="Muli"/>
                <w:sz w:val="20"/>
                <w:szCs w:val="20"/>
              </w:rPr>
              <w:t>.</w:t>
            </w:r>
          </w:p>
        </w:tc>
        <w:tc>
          <w:tcPr>
            <w:tcW w:w="4665" w:type="dxa"/>
            <w:tcMar>
              <w:top w:w="99" w:type="dxa"/>
              <w:left w:w="99" w:type="dxa"/>
              <w:bottom w:w="99" w:type="dxa"/>
              <w:right w:w="99" w:type="dxa"/>
            </w:tcMar>
          </w:tcPr>
          <w:p w14:paraId="4E5356CC" w14:textId="77777777" w:rsidR="00C56CD1" w:rsidRDefault="00DA00BA">
            <w:pPr>
              <w:pStyle w:val="normal0"/>
              <w:rPr>
                <w:rFonts w:ascii="Muli" w:eastAsia="Muli" w:hAnsi="Muli" w:cs="Muli"/>
                <w:sz w:val="20"/>
                <w:szCs w:val="20"/>
              </w:rPr>
            </w:pPr>
            <w:r>
              <w:rPr>
                <w:rFonts w:ascii="Muli" w:eastAsia="Muli" w:hAnsi="Muli" w:cs="Muli"/>
                <w:noProof/>
                <w:sz w:val="20"/>
                <w:szCs w:val="20"/>
              </w:rPr>
              <w:drawing>
                <wp:inline distT="114300" distB="114300" distL="114300" distR="114300" wp14:anchorId="45D5C50A" wp14:editId="34F4E035">
                  <wp:extent cx="2828925" cy="1689100"/>
                  <wp:effectExtent l="12700" t="12700" r="12700" b="12700"/>
                  <wp:docPr id="3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a:srcRect/>
                          <a:stretch>
                            <a:fillRect/>
                          </a:stretch>
                        </pic:blipFill>
                        <pic:spPr>
                          <a:xfrm>
                            <a:off x="0" y="0"/>
                            <a:ext cx="2828925" cy="1689100"/>
                          </a:xfrm>
                          <a:prstGeom prst="rect">
                            <a:avLst/>
                          </a:prstGeom>
                          <a:ln w="12700">
                            <a:solidFill>
                              <a:srgbClr val="CCCCCC"/>
                            </a:solidFill>
                            <a:prstDash val="solid"/>
                          </a:ln>
                        </pic:spPr>
                      </pic:pic>
                    </a:graphicData>
                  </a:graphic>
                </wp:inline>
              </w:drawing>
            </w:r>
          </w:p>
          <w:p w14:paraId="6E35BAF4" w14:textId="77777777" w:rsidR="00C56CD1" w:rsidRDefault="00DA00BA">
            <w:pPr>
              <w:pStyle w:val="normal0"/>
              <w:rPr>
                <w:rFonts w:ascii="Muli" w:eastAsia="Muli" w:hAnsi="Muli" w:cs="Muli"/>
                <w:b/>
                <w:color w:val="FF126D"/>
                <w:sz w:val="20"/>
                <w:szCs w:val="20"/>
              </w:rPr>
            </w:pPr>
            <w:r>
              <w:rPr>
                <w:rFonts w:ascii="Muli" w:eastAsia="Muli" w:hAnsi="Muli" w:cs="Muli"/>
                <w:b/>
                <w:color w:val="FF126D"/>
                <w:sz w:val="20"/>
                <w:szCs w:val="20"/>
              </w:rPr>
              <w:t>DQ2L9 TE p. 167</w:t>
            </w:r>
            <w:r>
              <w:rPr>
                <w:rFonts w:ascii="Muli" w:eastAsia="Muli" w:hAnsi="Muli" w:cs="Muli"/>
                <w:b/>
                <w:noProof/>
                <w:color w:val="FF126D"/>
                <w:sz w:val="20"/>
                <w:szCs w:val="20"/>
              </w:rPr>
              <w:drawing>
                <wp:inline distT="114300" distB="114300" distL="114300" distR="114300" wp14:anchorId="314A2759" wp14:editId="04D44FDC">
                  <wp:extent cx="2828925" cy="1422400"/>
                  <wp:effectExtent l="12700" t="12700" r="12700" b="1270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828925" cy="1422400"/>
                          </a:xfrm>
                          <a:prstGeom prst="rect">
                            <a:avLst/>
                          </a:prstGeom>
                          <a:ln w="12700">
                            <a:solidFill>
                              <a:srgbClr val="D9D9D9"/>
                            </a:solidFill>
                            <a:prstDash val="solid"/>
                          </a:ln>
                        </pic:spPr>
                      </pic:pic>
                    </a:graphicData>
                  </a:graphic>
                </wp:inline>
              </w:drawing>
            </w:r>
          </w:p>
          <w:p w14:paraId="1E522398" w14:textId="77777777" w:rsidR="00C56CD1" w:rsidRDefault="00DA00BA">
            <w:pPr>
              <w:pStyle w:val="normal0"/>
              <w:rPr>
                <w:rFonts w:ascii="Muli" w:eastAsia="Muli" w:hAnsi="Muli" w:cs="Muli"/>
                <w:b/>
                <w:color w:val="FF126D"/>
                <w:sz w:val="20"/>
                <w:szCs w:val="20"/>
              </w:rPr>
            </w:pPr>
            <w:r>
              <w:rPr>
                <w:rFonts w:ascii="Muli" w:eastAsia="Muli" w:hAnsi="Muli" w:cs="Muli"/>
                <w:b/>
                <w:color w:val="FF126D"/>
                <w:sz w:val="20"/>
                <w:szCs w:val="20"/>
              </w:rPr>
              <w:t>DQ3L5 TE p. 221</w:t>
            </w:r>
          </w:p>
          <w:p w14:paraId="502C48EC" w14:textId="77777777" w:rsidR="00C56CD1" w:rsidRDefault="00C56CD1">
            <w:pPr>
              <w:pStyle w:val="normal0"/>
              <w:rPr>
                <w:rFonts w:ascii="Muli" w:eastAsia="Muli" w:hAnsi="Muli" w:cs="Muli"/>
                <w:b/>
                <w:color w:val="FF126D"/>
                <w:sz w:val="20"/>
                <w:szCs w:val="20"/>
              </w:rPr>
            </w:pPr>
          </w:p>
          <w:p w14:paraId="4DF6633F" w14:textId="77777777" w:rsidR="00C56CD1" w:rsidRDefault="00DA00BA">
            <w:pPr>
              <w:pStyle w:val="normal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60086C2F" wp14:editId="3E2B28EE">
                  <wp:extent cx="2662238" cy="2330578"/>
                  <wp:effectExtent l="12700" t="12700" r="12700" b="1270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2662238" cy="2330578"/>
                          </a:xfrm>
                          <a:prstGeom prst="rect">
                            <a:avLst/>
                          </a:prstGeom>
                          <a:ln w="12700">
                            <a:solidFill>
                              <a:srgbClr val="CCCCCC"/>
                            </a:solidFill>
                            <a:prstDash val="solid"/>
                          </a:ln>
                        </pic:spPr>
                      </pic:pic>
                    </a:graphicData>
                  </a:graphic>
                </wp:inline>
              </w:drawing>
            </w:r>
          </w:p>
          <w:p w14:paraId="004A35BE" w14:textId="77777777" w:rsidR="00C56CD1" w:rsidRDefault="00DA00BA">
            <w:pPr>
              <w:pStyle w:val="normal0"/>
              <w:rPr>
                <w:rFonts w:ascii="Muli" w:eastAsia="Muli" w:hAnsi="Muli" w:cs="Muli"/>
                <w:sz w:val="20"/>
                <w:szCs w:val="20"/>
              </w:rPr>
            </w:pPr>
            <w:r>
              <w:rPr>
                <w:rFonts w:ascii="Muli" w:eastAsia="Muli" w:hAnsi="Muli" w:cs="Muli"/>
                <w:b/>
                <w:color w:val="FF126D"/>
                <w:sz w:val="20"/>
                <w:szCs w:val="20"/>
              </w:rPr>
              <w:t>DQ2L2 TE p. 110</w:t>
            </w:r>
          </w:p>
        </w:tc>
      </w:tr>
      <w:tr w:rsidR="00C56CD1" w14:paraId="1F4719AF" w14:textId="77777777">
        <w:trPr>
          <w:trHeight w:val="1020"/>
        </w:trPr>
        <w:tc>
          <w:tcPr>
            <w:tcW w:w="9949" w:type="dxa"/>
            <w:tcMar>
              <w:top w:w="99" w:type="dxa"/>
              <w:left w:w="99" w:type="dxa"/>
              <w:bottom w:w="99" w:type="dxa"/>
              <w:right w:w="99" w:type="dxa"/>
            </w:tcMar>
          </w:tcPr>
          <w:p w14:paraId="226C4B69" w14:textId="77777777" w:rsidR="00C56CD1" w:rsidRDefault="00DA00BA">
            <w:pPr>
              <w:pStyle w:val="normal0"/>
              <w:numPr>
                <w:ilvl w:val="0"/>
                <w:numId w:val="5"/>
              </w:numPr>
              <w:ind w:right="360"/>
              <w:rPr>
                <w:rFonts w:ascii="Muli" w:eastAsia="Muli" w:hAnsi="Muli" w:cs="Muli"/>
                <w:sz w:val="20"/>
                <w:szCs w:val="20"/>
              </w:rPr>
            </w:pPr>
            <w:r>
              <w:rPr>
                <w:rFonts w:ascii="Muli" w:eastAsia="Muli" w:hAnsi="Muli" w:cs="Muli"/>
                <w:sz w:val="20"/>
                <w:szCs w:val="20"/>
              </w:rPr>
              <w:lastRenderedPageBreak/>
              <w:t xml:space="preserve">Opportunities for students to articulate, question, and revise their conceptual framework are woven into the instructional resources supporting teachers to assess the progression of their scientifically accurate understandings. Strategies on how to tailor </w:t>
            </w:r>
            <w:r>
              <w:rPr>
                <w:rFonts w:ascii="Muli" w:eastAsia="Muli" w:hAnsi="Muli" w:cs="Muli"/>
                <w:sz w:val="20"/>
                <w:szCs w:val="20"/>
              </w:rPr>
              <w:t xml:space="preserve">instruction for students requiring more support is provided for teachers. </w:t>
            </w:r>
            <w:r>
              <w:rPr>
                <w:rFonts w:ascii="Muli" w:eastAsia="Muli" w:hAnsi="Muli" w:cs="Muli"/>
                <w:b/>
                <w:color w:val="FF126D"/>
                <w:sz w:val="20"/>
                <w:szCs w:val="20"/>
              </w:rPr>
              <w:t>(DQ1L1 TE p. 17)</w:t>
            </w:r>
          </w:p>
        </w:tc>
        <w:tc>
          <w:tcPr>
            <w:tcW w:w="4665" w:type="dxa"/>
            <w:tcMar>
              <w:top w:w="99" w:type="dxa"/>
              <w:left w:w="99" w:type="dxa"/>
              <w:bottom w:w="99" w:type="dxa"/>
              <w:right w:w="99" w:type="dxa"/>
            </w:tcMar>
          </w:tcPr>
          <w:p w14:paraId="2F95C22E" w14:textId="77777777" w:rsidR="00C56CD1" w:rsidRDefault="00DA00BA">
            <w:pPr>
              <w:pStyle w:val="normal0"/>
              <w:spacing w:before="15"/>
              <w:ind w:left="153"/>
              <w:rPr>
                <w:rFonts w:ascii="Muli" w:eastAsia="Muli" w:hAnsi="Muli" w:cs="Muli"/>
                <w:sz w:val="20"/>
                <w:szCs w:val="20"/>
              </w:rPr>
            </w:pPr>
            <w:r>
              <w:rPr>
                <w:rFonts w:ascii="Muli" w:eastAsia="Muli" w:hAnsi="Muli" w:cs="Muli"/>
                <w:b/>
                <w:color w:val="FF126D"/>
                <w:sz w:val="20"/>
                <w:szCs w:val="20"/>
              </w:rPr>
              <w:t>DQ1L1 TE p. 17</w:t>
            </w:r>
            <w:r>
              <w:rPr>
                <w:noProof/>
              </w:rPr>
              <w:drawing>
                <wp:anchor distT="114300" distB="114300" distL="114300" distR="114300" simplePos="0" relativeHeight="251658240" behindDoc="0" locked="0" layoutInCell="1" hidden="0" allowOverlap="1" wp14:anchorId="18CE14D8" wp14:editId="350268E7">
                  <wp:simplePos x="0" y="0"/>
                  <wp:positionH relativeFrom="column">
                    <wp:posOffset>-143658</wp:posOffset>
                  </wp:positionH>
                  <wp:positionV relativeFrom="paragraph">
                    <wp:posOffset>114300</wp:posOffset>
                  </wp:positionV>
                  <wp:extent cx="3086884" cy="3167063"/>
                  <wp:effectExtent l="12700" t="12700" r="12700" b="12700"/>
                  <wp:wrapSquare wrapText="bothSides" distT="114300" distB="114300" distL="114300" distR="114300"/>
                  <wp:docPr id="6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7"/>
                          <a:srcRect/>
                          <a:stretch>
                            <a:fillRect/>
                          </a:stretch>
                        </pic:blipFill>
                        <pic:spPr>
                          <a:xfrm>
                            <a:off x="0" y="0"/>
                            <a:ext cx="3086884" cy="3167063"/>
                          </a:xfrm>
                          <a:prstGeom prst="rect">
                            <a:avLst/>
                          </a:prstGeom>
                          <a:ln w="12700">
                            <a:solidFill>
                              <a:srgbClr val="D9D9D9"/>
                            </a:solidFill>
                            <a:prstDash val="solid"/>
                          </a:ln>
                        </pic:spPr>
                      </pic:pic>
                    </a:graphicData>
                  </a:graphic>
                </wp:anchor>
              </w:drawing>
            </w:r>
          </w:p>
        </w:tc>
      </w:tr>
      <w:tr w:rsidR="00C56CD1" w14:paraId="367F98C9" w14:textId="77777777">
        <w:trPr>
          <w:trHeight w:val="1020"/>
        </w:trPr>
        <w:tc>
          <w:tcPr>
            <w:tcW w:w="9949" w:type="dxa"/>
            <w:tcMar>
              <w:top w:w="99" w:type="dxa"/>
              <w:left w:w="99" w:type="dxa"/>
              <w:bottom w:w="99" w:type="dxa"/>
              <w:right w:w="99" w:type="dxa"/>
            </w:tcMar>
          </w:tcPr>
          <w:p w14:paraId="05B1002E" w14:textId="77777777" w:rsidR="00C56CD1" w:rsidRDefault="00DA00BA">
            <w:pPr>
              <w:pStyle w:val="normal0"/>
              <w:numPr>
                <w:ilvl w:val="0"/>
                <w:numId w:val="5"/>
              </w:numPr>
              <w:ind w:right="360"/>
              <w:rPr>
                <w:rFonts w:ascii="Muli" w:eastAsia="Muli" w:hAnsi="Muli" w:cs="Muli"/>
                <w:sz w:val="20"/>
                <w:szCs w:val="20"/>
              </w:rPr>
            </w:pPr>
            <w:r>
              <w:rPr>
                <w:rFonts w:ascii="Muli" w:eastAsia="Muli" w:hAnsi="Muli" w:cs="Muli"/>
                <w:sz w:val="20"/>
                <w:szCs w:val="20"/>
              </w:rPr>
              <w:t xml:space="preserve">The assessment tasks are well connected to the phenomena and dimensions being assessed. For example, in the DQ3 </w:t>
            </w:r>
            <w:r>
              <w:rPr>
                <w:rFonts w:ascii="Muli" w:eastAsia="Muli" w:hAnsi="Muli" w:cs="Muli"/>
                <w:b/>
                <w:color w:val="FF126D"/>
                <w:sz w:val="20"/>
                <w:szCs w:val="20"/>
              </w:rPr>
              <w:t>Benchmark Assessment Survival of the</w:t>
            </w:r>
            <w:r>
              <w:rPr>
                <w:rFonts w:ascii="Muli" w:eastAsia="Muli" w:hAnsi="Muli" w:cs="Muli"/>
                <w:b/>
                <w:color w:val="FF126D"/>
                <w:sz w:val="20"/>
                <w:szCs w:val="20"/>
              </w:rPr>
              <w:t xml:space="preserve"> Fittest Flower</w:t>
            </w:r>
            <w:r>
              <w:rPr>
                <w:rFonts w:ascii="Muli" w:eastAsia="Muli" w:hAnsi="Muli" w:cs="Muli"/>
                <w:sz w:val="20"/>
                <w:szCs w:val="20"/>
              </w:rPr>
              <w:t>, students gather evidence about factors that affect plant survival, and identify advantageous traits and how to recreate them.</w:t>
            </w:r>
          </w:p>
        </w:tc>
        <w:tc>
          <w:tcPr>
            <w:tcW w:w="4665" w:type="dxa"/>
            <w:tcMar>
              <w:top w:w="99" w:type="dxa"/>
              <w:left w:w="99" w:type="dxa"/>
              <w:bottom w:w="99" w:type="dxa"/>
              <w:right w:w="99" w:type="dxa"/>
            </w:tcMar>
          </w:tcPr>
          <w:p w14:paraId="7260A1A0" w14:textId="77777777" w:rsidR="00C56CD1" w:rsidRDefault="00DA00BA">
            <w:pPr>
              <w:pStyle w:val="normal0"/>
              <w:spacing w:before="15"/>
              <w:ind w:left="153"/>
              <w:rPr>
                <w:rFonts w:ascii="Muli" w:eastAsia="Muli" w:hAnsi="Muli" w:cs="Muli"/>
                <w:color w:val="FF0000"/>
                <w:sz w:val="20"/>
                <w:szCs w:val="20"/>
              </w:rPr>
            </w:pPr>
            <w:r>
              <w:rPr>
                <w:rFonts w:ascii="Muli" w:eastAsia="Muli" w:hAnsi="Muli" w:cs="Muli"/>
                <w:noProof/>
                <w:color w:val="FF0000"/>
                <w:sz w:val="20"/>
                <w:szCs w:val="20"/>
              </w:rPr>
              <w:drawing>
                <wp:inline distT="114300" distB="114300" distL="114300" distR="114300" wp14:anchorId="387F35DE" wp14:editId="03425839">
                  <wp:extent cx="2635692" cy="1624013"/>
                  <wp:effectExtent l="0" t="0" r="0" b="0"/>
                  <wp:docPr id="4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8"/>
                          <a:srcRect/>
                          <a:stretch>
                            <a:fillRect/>
                          </a:stretch>
                        </pic:blipFill>
                        <pic:spPr>
                          <a:xfrm>
                            <a:off x="0" y="0"/>
                            <a:ext cx="2635692" cy="1624013"/>
                          </a:xfrm>
                          <a:prstGeom prst="rect">
                            <a:avLst/>
                          </a:prstGeom>
                          <a:ln/>
                        </pic:spPr>
                      </pic:pic>
                    </a:graphicData>
                  </a:graphic>
                </wp:inline>
              </w:drawing>
            </w:r>
          </w:p>
          <w:p w14:paraId="00256AD2" w14:textId="77777777" w:rsidR="00C56CD1" w:rsidRDefault="00DA00BA">
            <w:pPr>
              <w:pStyle w:val="normal0"/>
              <w:spacing w:before="15"/>
              <w:ind w:left="153"/>
              <w:rPr>
                <w:rFonts w:ascii="Muli" w:eastAsia="Muli" w:hAnsi="Muli" w:cs="Muli"/>
                <w:color w:val="FF0000"/>
                <w:sz w:val="20"/>
                <w:szCs w:val="20"/>
              </w:rPr>
            </w:pPr>
            <w:r>
              <w:rPr>
                <w:rFonts w:ascii="Muli" w:eastAsia="Muli" w:hAnsi="Muli" w:cs="Muli"/>
                <w:b/>
                <w:color w:val="FF126D"/>
                <w:sz w:val="20"/>
                <w:szCs w:val="20"/>
              </w:rPr>
              <w:t>Benchmark Assessment TE pp. 236–243</w:t>
            </w:r>
          </w:p>
        </w:tc>
      </w:tr>
      <w:tr w:rsidR="00C56CD1" w14:paraId="0C407BEF" w14:textId="77777777">
        <w:trPr>
          <w:trHeight w:val="1020"/>
        </w:trPr>
        <w:tc>
          <w:tcPr>
            <w:tcW w:w="9949" w:type="dxa"/>
            <w:tcMar>
              <w:top w:w="99" w:type="dxa"/>
              <w:left w:w="99" w:type="dxa"/>
              <w:bottom w:w="99" w:type="dxa"/>
              <w:right w:w="99" w:type="dxa"/>
            </w:tcMar>
          </w:tcPr>
          <w:p w14:paraId="58152E16" w14:textId="77777777" w:rsidR="00C56CD1" w:rsidRDefault="00DA00BA">
            <w:pPr>
              <w:pStyle w:val="normal0"/>
              <w:numPr>
                <w:ilvl w:val="0"/>
                <w:numId w:val="5"/>
              </w:numPr>
              <w:ind w:right="360"/>
              <w:rPr>
                <w:rFonts w:ascii="Muli" w:eastAsia="Muli" w:hAnsi="Muli" w:cs="Muli"/>
                <w:sz w:val="20"/>
                <w:szCs w:val="20"/>
              </w:rPr>
            </w:pPr>
            <w:r>
              <w:rPr>
                <w:rFonts w:ascii="Muli" w:eastAsia="Muli" w:hAnsi="Muli" w:cs="Muli"/>
                <w:b/>
                <w:color w:val="FF126D"/>
                <w:sz w:val="20"/>
                <w:szCs w:val="20"/>
              </w:rPr>
              <w:lastRenderedPageBreak/>
              <w:t>Driving Question Dividers</w:t>
            </w:r>
            <w:r>
              <w:rPr>
                <w:rFonts w:ascii="Muli" w:eastAsia="Muli" w:hAnsi="Muli" w:cs="Muli"/>
                <w:sz w:val="20"/>
                <w:szCs w:val="20"/>
              </w:rPr>
              <w:t xml:space="preserve"> and </w:t>
            </w:r>
            <w:r>
              <w:rPr>
                <w:rFonts w:ascii="Muli" w:eastAsia="Muli" w:hAnsi="Muli" w:cs="Muli"/>
                <w:b/>
                <w:color w:val="FF126D"/>
                <w:sz w:val="20"/>
                <w:szCs w:val="20"/>
              </w:rPr>
              <w:t>Driving Question Overviews</w:t>
            </w:r>
            <w:r>
              <w:rPr>
                <w:rFonts w:ascii="Muli" w:eastAsia="Muli" w:hAnsi="Muli" w:cs="Muli"/>
                <w:sz w:val="20"/>
                <w:szCs w:val="20"/>
              </w:rPr>
              <w:t xml:space="preserve"> show the sequence of learning, the rationale behind it, and the three-dimensional aspect of the activities.</w:t>
            </w:r>
          </w:p>
        </w:tc>
        <w:tc>
          <w:tcPr>
            <w:tcW w:w="4665" w:type="dxa"/>
            <w:tcMar>
              <w:top w:w="99" w:type="dxa"/>
              <w:left w:w="99" w:type="dxa"/>
              <w:bottom w:w="99" w:type="dxa"/>
              <w:right w:w="99" w:type="dxa"/>
            </w:tcMar>
          </w:tcPr>
          <w:p w14:paraId="3F95ECC4" w14:textId="77777777" w:rsidR="00C56CD1" w:rsidRDefault="00DA00BA">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233F3CA1" wp14:editId="4C05AFA0">
                  <wp:extent cx="2782887" cy="3302768"/>
                  <wp:effectExtent l="0" t="0" r="0" b="0"/>
                  <wp:docPr id="4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9"/>
                          <a:srcRect/>
                          <a:stretch>
                            <a:fillRect/>
                          </a:stretch>
                        </pic:blipFill>
                        <pic:spPr>
                          <a:xfrm>
                            <a:off x="0" y="0"/>
                            <a:ext cx="2782887" cy="3302768"/>
                          </a:xfrm>
                          <a:prstGeom prst="rect">
                            <a:avLst/>
                          </a:prstGeom>
                          <a:ln/>
                        </pic:spPr>
                      </pic:pic>
                    </a:graphicData>
                  </a:graphic>
                </wp:inline>
              </w:drawing>
            </w:r>
          </w:p>
          <w:p w14:paraId="75A8EED2" w14:textId="77777777" w:rsidR="00C56CD1" w:rsidRDefault="00DA00BA">
            <w:pPr>
              <w:pStyle w:val="normal0"/>
              <w:ind w:left="112" w:hanging="21"/>
              <w:rPr>
                <w:rFonts w:ascii="Muli" w:eastAsia="Muli" w:hAnsi="Muli" w:cs="Muli"/>
                <w:b/>
                <w:color w:val="FF126D"/>
                <w:sz w:val="20"/>
                <w:szCs w:val="20"/>
              </w:rPr>
            </w:pPr>
            <w:r>
              <w:rPr>
                <w:rFonts w:ascii="Muli" w:eastAsia="Muli" w:hAnsi="Muli" w:cs="Muli"/>
                <w:b/>
                <w:color w:val="FF126D"/>
                <w:sz w:val="20"/>
                <w:szCs w:val="20"/>
              </w:rPr>
              <w:t>Driving Question Divider TE p. 245</w:t>
            </w:r>
          </w:p>
          <w:p w14:paraId="6CDEE366" w14:textId="77777777" w:rsidR="00C56CD1" w:rsidRDefault="00DA00BA">
            <w:pPr>
              <w:pStyle w:val="normal0"/>
              <w:rPr>
                <w:rFonts w:ascii="Muli" w:eastAsia="Muli" w:hAnsi="Muli" w:cs="Muli"/>
                <w:b/>
                <w:color w:val="FF126D"/>
                <w:sz w:val="20"/>
                <w:szCs w:val="20"/>
              </w:rPr>
            </w:pPr>
            <w:r>
              <w:rPr>
                <w:rFonts w:ascii="Muli" w:eastAsia="Muli" w:hAnsi="Muli" w:cs="Muli"/>
                <w:b/>
                <w:noProof/>
                <w:color w:val="FF126D"/>
                <w:sz w:val="20"/>
                <w:szCs w:val="20"/>
              </w:rPr>
              <w:lastRenderedPageBreak/>
              <w:drawing>
                <wp:inline distT="114300" distB="114300" distL="114300" distR="114300" wp14:anchorId="112F7461" wp14:editId="64906C40">
                  <wp:extent cx="2828925" cy="3289300"/>
                  <wp:effectExtent l="12700" t="12700" r="12700" b="12700"/>
                  <wp:docPr id="2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4"/>
                          <a:srcRect/>
                          <a:stretch>
                            <a:fillRect/>
                          </a:stretch>
                        </pic:blipFill>
                        <pic:spPr>
                          <a:xfrm>
                            <a:off x="0" y="0"/>
                            <a:ext cx="2828925" cy="3289300"/>
                          </a:xfrm>
                          <a:prstGeom prst="rect">
                            <a:avLst/>
                          </a:prstGeom>
                          <a:ln w="12700">
                            <a:solidFill>
                              <a:srgbClr val="D9D9D9"/>
                            </a:solidFill>
                            <a:prstDash val="solid"/>
                          </a:ln>
                        </pic:spPr>
                      </pic:pic>
                    </a:graphicData>
                  </a:graphic>
                </wp:inline>
              </w:drawing>
            </w:r>
          </w:p>
          <w:p w14:paraId="3DC6BCA9" w14:textId="77777777" w:rsidR="00C56CD1" w:rsidRDefault="00DA00BA">
            <w:pPr>
              <w:pStyle w:val="normal0"/>
              <w:ind w:left="90"/>
              <w:rPr>
                <w:rFonts w:ascii="Muli" w:eastAsia="Muli" w:hAnsi="Muli" w:cs="Muli"/>
                <w:b/>
                <w:color w:val="FF126D"/>
                <w:sz w:val="20"/>
                <w:szCs w:val="20"/>
              </w:rPr>
            </w:pPr>
            <w:r>
              <w:rPr>
                <w:rFonts w:ascii="Muli" w:eastAsia="Muli" w:hAnsi="Muli" w:cs="Muli"/>
                <w:b/>
                <w:color w:val="FF126D"/>
                <w:sz w:val="20"/>
                <w:szCs w:val="20"/>
              </w:rPr>
              <w:t>Driving Question Overview</w:t>
            </w:r>
          </w:p>
        </w:tc>
      </w:tr>
      <w:tr w:rsidR="00C56CD1" w14:paraId="4EE11AAB" w14:textId="77777777">
        <w:trPr>
          <w:trHeight w:val="1020"/>
        </w:trPr>
        <w:tc>
          <w:tcPr>
            <w:tcW w:w="9949" w:type="dxa"/>
            <w:tcMar>
              <w:top w:w="99" w:type="dxa"/>
              <w:left w:w="99" w:type="dxa"/>
              <w:bottom w:w="99" w:type="dxa"/>
              <w:right w:w="99" w:type="dxa"/>
            </w:tcMar>
          </w:tcPr>
          <w:p w14:paraId="20DF3FD1" w14:textId="77777777" w:rsidR="00C56CD1" w:rsidRDefault="00DA00BA">
            <w:pPr>
              <w:pStyle w:val="normal0"/>
              <w:numPr>
                <w:ilvl w:val="0"/>
                <w:numId w:val="5"/>
              </w:numPr>
              <w:rPr>
                <w:rFonts w:ascii="Muli" w:eastAsia="Muli" w:hAnsi="Muli" w:cs="Muli"/>
                <w:sz w:val="20"/>
                <w:szCs w:val="20"/>
              </w:rPr>
            </w:pPr>
            <w:r>
              <w:rPr>
                <w:rFonts w:ascii="Muli" w:eastAsia="Muli" w:hAnsi="Muli" w:cs="Muli"/>
                <w:sz w:val="20"/>
                <w:szCs w:val="20"/>
              </w:rPr>
              <w:lastRenderedPageBreak/>
              <w:t xml:space="preserve">Throughout the module, students use their class </w:t>
            </w:r>
            <w:r>
              <w:rPr>
                <w:rFonts w:ascii="Muli" w:eastAsia="Muli" w:hAnsi="Muli" w:cs="Muli"/>
                <w:b/>
                <w:color w:val="FF126D"/>
                <w:sz w:val="20"/>
                <w:szCs w:val="20"/>
              </w:rPr>
              <w:t>Science Tools poster</w:t>
            </w:r>
            <w:r>
              <w:rPr>
                <w:rFonts w:ascii="Muli" w:eastAsia="Muli" w:hAnsi="Muli" w:cs="Muli"/>
                <w:sz w:val="20"/>
                <w:szCs w:val="20"/>
              </w:rPr>
              <w:t xml:space="preserve"> to track their growing use of the SEPs. The poster is blank at the start of the year, and the eight SEPs are added when each one is used for the first time. In this module, students add “Use math and computational thinking” (SEP-5) and “Ask questions” (SE</w:t>
            </w:r>
            <w:r>
              <w:rPr>
                <w:rFonts w:ascii="Muli" w:eastAsia="Muli" w:hAnsi="Muli" w:cs="Muli"/>
                <w:sz w:val="20"/>
                <w:szCs w:val="20"/>
              </w:rPr>
              <w:t>P-1) to their poster, and revisit:</w:t>
            </w:r>
          </w:p>
          <w:p w14:paraId="2F9FED0C" w14:textId="77777777" w:rsidR="00C56CD1" w:rsidRDefault="00C56CD1">
            <w:pPr>
              <w:pStyle w:val="normal0"/>
              <w:ind w:left="720"/>
              <w:rPr>
                <w:rFonts w:ascii="Muli" w:eastAsia="Muli" w:hAnsi="Muli" w:cs="Muli"/>
                <w:sz w:val="20"/>
                <w:szCs w:val="20"/>
              </w:rPr>
            </w:pPr>
          </w:p>
          <w:p w14:paraId="2555C113" w14:textId="77777777" w:rsidR="00C56CD1" w:rsidRDefault="00DA00BA">
            <w:pPr>
              <w:pStyle w:val="normal0"/>
              <w:numPr>
                <w:ilvl w:val="1"/>
                <w:numId w:val="5"/>
              </w:numPr>
              <w:rPr>
                <w:rFonts w:ascii="Muli" w:eastAsia="Muli" w:hAnsi="Muli" w:cs="Muli"/>
                <w:sz w:val="20"/>
                <w:szCs w:val="20"/>
              </w:rPr>
            </w:pPr>
            <w:r>
              <w:rPr>
                <w:rFonts w:ascii="Muli" w:eastAsia="Muli" w:hAnsi="Muli" w:cs="Muli"/>
                <w:sz w:val="20"/>
                <w:szCs w:val="20"/>
              </w:rPr>
              <w:t>Obtain and evaluate information (SEP-8)</w:t>
            </w:r>
          </w:p>
          <w:p w14:paraId="65DCB5F7" w14:textId="77777777" w:rsidR="00C56CD1" w:rsidRDefault="00DA00BA">
            <w:pPr>
              <w:pStyle w:val="normal0"/>
              <w:numPr>
                <w:ilvl w:val="1"/>
                <w:numId w:val="5"/>
              </w:numPr>
              <w:rPr>
                <w:rFonts w:ascii="Muli" w:eastAsia="Muli" w:hAnsi="Muli" w:cs="Muli"/>
                <w:sz w:val="20"/>
                <w:szCs w:val="20"/>
              </w:rPr>
            </w:pPr>
            <w:r>
              <w:rPr>
                <w:rFonts w:ascii="Muli" w:eastAsia="Muli" w:hAnsi="Muli" w:cs="Muli"/>
                <w:sz w:val="20"/>
                <w:szCs w:val="20"/>
              </w:rPr>
              <w:t>Analyze and interpret data (SEP-4)</w:t>
            </w:r>
          </w:p>
          <w:p w14:paraId="5F3DAA2F" w14:textId="77777777" w:rsidR="00C56CD1" w:rsidRDefault="00DA00BA">
            <w:pPr>
              <w:pStyle w:val="normal0"/>
              <w:numPr>
                <w:ilvl w:val="1"/>
                <w:numId w:val="5"/>
              </w:numPr>
              <w:rPr>
                <w:rFonts w:ascii="Muli" w:eastAsia="Muli" w:hAnsi="Muli" w:cs="Muli"/>
                <w:sz w:val="20"/>
                <w:szCs w:val="20"/>
              </w:rPr>
            </w:pPr>
            <w:r>
              <w:rPr>
                <w:rFonts w:ascii="Muli" w:eastAsia="Muli" w:hAnsi="Muli" w:cs="Muli"/>
                <w:sz w:val="20"/>
                <w:szCs w:val="20"/>
              </w:rPr>
              <w:t>Communicate information (SEP-8)</w:t>
            </w:r>
          </w:p>
          <w:p w14:paraId="5BB6A4AA" w14:textId="77777777" w:rsidR="00C56CD1" w:rsidRDefault="00DA00BA">
            <w:pPr>
              <w:pStyle w:val="normal0"/>
              <w:numPr>
                <w:ilvl w:val="1"/>
                <w:numId w:val="5"/>
              </w:numPr>
              <w:rPr>
                <w:rFonts w:ascii="Muli" w:eastAsia="Muli" w:hAnsi="Muli" w:cs="Muli"/>
                <w:sz w:val="20"/>
                <w:szCs w:val="20"/>
              </w:rPr>
            </w:pPr>
            <w:r>
              <w:rPr>
                <w:rFonts w:ascii="Muli" w:eastAsia="Muli" w:hAnsi="Muli" w:cs="Muli"/>
                <w:sz w:val="20"/>
                <w:szCs w:val="20"/>
              </w:rPr>
              <w:t>Develop and use models (SEP-2)</w:t>
            </w:r>
          </w:p>
          <w:p w14:paraId="08D7F490" w14:textId="77777777" w:rsidR="00C56CD1" w:rsidRDefault="00DA00BA">
            <w:pPr>
              <w:pStyle w:val="normal0"/>
              <w:numPr>
                <w:ilvl w:val="1"/>
                <w:numId w:val="5"/>
              </w:numPr>
              <w:rPr>
                <w:rFonts w:ascii="Muli" w:eastAsia="Muli" w:hAnsi="Muli" w:cs="Muli"/>
                <w:sz w:val="20"/>
                <w:szCs w:val="20"/>
              </w:rPr>
            </w:pPr>
            <w:r>
              <w:rPr>
                <w:rFonts w:ascii="Muli" w:eastAsia="Muli" w:hAnsi="Muli" w:cs="Muli"/>
                <w:sz w:val="20"/>
                <w:szCs w:val="20"/>
              </w:rPr>
              <w:t>Construct explanations (SEP-6)</w:t>
            </w:r>
          </w:p>
          <w:p w14:paraId="5FCDF3E1" w14:textId="77777777" w:rsidR="00C56CD1" w:rsidRDefault="00DA00BA">
            <w:pPr>
              <w:pStyle w:val="normal0"/>
              <w:numPr>
                <w:ilvl w:val="1"/>
                <w:numId w:val="5"/>
              </w:numPr>
              <w:rPr>
                <w:rFonts w:ascii="Muli" w:eastAsia="Muli" w:hAnsi="Muli" w:cs="Muli"/>
                <w:sz w:val="20"/>
                <w:szCs w:val="20"/>
              </w:rPr>
            </w:pPr>
            <w:r>
              <w:rPr>
                <w:rFonts w:ascii="Muli" w:eastAsia="Muli" w:hAnsi="Muli" w:cs="Muli"/>
                <w:sz w:val="20"/>
                <w:szCs w:val="20"/>
              </w:rPr>
              <w:t>Design solutions (SEP-6).</w:t>
            </w:r>
          </w:p>
          <w:p w14:paraId="7B11E816" w14:textId="77777777" w:rsidR="00C56CD1" w:rsidRDefault="00C56CD1">
            <w:pPr>
              <w:pStyle w:val="normal0"/>
              <w:ind w:left="1440"/>
              <w:rPr>
                <w:rFonts w:ascii="Muli" w:eastAsia="Muli" w:hAnsi="Muli" w:cs="Muli"/>
                <w:sz w:val="20"/>
                <w:szCs w:val="20"/>
              </w:rPr>
            </w:pPr>
          </w:p>
          <w:p w14:paraId="79017CAA" w14:textId="77777777" w:rsidR="00C56CD1" w:rsidRDefault="00DA00BA">
            <w:pPr>
              <w:pStyle w:val="normal0"/>
              <w:numPr>
                <w:ilvl w:val="0"/>
                <w:numId w:val="5"/>
              </w:numPr>
              <w:contextualSpacing/>
              <w:rPr>
                <w:rFonts w:ascii="Muli" w:eastAsia="Muli" w:hAnsi="Muli" w:cs="Muli"/>
                <w:sz w:val="20"/>
                <w:szCs w:val="20"/>
              </w:rPr>
            </w:pPr>
            <w:r>
              <w:rPr>
                <w:rFonts w:ascii="Muli" w:eastAsia="Muli" w:hAnsi="Muli" w:cs="Muli"/>
                <w:sz w:val="20"/>
                <w:szCs w:val="20"/>
              </w:rPr>
              <w:t>This metacognitive activity grows students' awareness of which skills they are using.</w:t>
            </w:r>
          </w:p>
        </w:tc>
        <w:tc>
          <w:tcPr>
            <w:tcW w:w="4665" w:type="dxa"/>
            <w:tcMar>
              <w:top w:w="99" w:type="dxa"/>
              <w:left w:w="99" w:type="dxa"/>
              <w:bottom w:w="99" w:type="dxa"/>
              <w:right w:w="99" w:type="dxa"/>
            </w:tcMar>
          </w:tcPr>
          <w:p w14:paraId="49187C85" w14:textId="77777777" w:rsidR="00C56CD1" w:rsidRDefault="00DA00BA">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1395CA3D" wp14:editId="747C4AB7">
                  <wp:extent cx="2605088" cy="2982255"/>
                  <wp:effectExtent l="0" t="0" r="0" b="0"/>
                  <wp:docPr id="3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0"/>
                          <a:srcRect/>
                          <a:stretch>
                            <a:fillRect/>
                          </a:stretch>
                        </pic:blipFill>
                        <pic:spPr>
                          <a:xfrm>
                            <a:off x="0" y="0"/>
                            <a:ext cx="2605088" cy="2982255"/>
                          </a:xfrm>
                          <a:prstGeom prst="rect">
                            <a:avLst/>
                          </a:prstGeom>
                          <a:ln/>
                        </pic:spPr>
                      </pic:pic>
                    </a:graphicData>
                  </a:graphic>
                </wp:inline>
              </w:drawing>
            </w:r>
          </w:p>
          <w:p w14:paraId="4B6DD069" w14:textId="77777777" w:rsidR="00C56CD1" w:rsidRDefault="00DA00BA">
            <w:pPr>
              <w:pStyle w:val="normal0"/>
              <w:rPr>
                <w:rFonts w:ascii="Muli" w:eastAsia="Muli" w:hAnsi="Muli" w:cs="Muli"/>
                <w:sz w:val="20"/>
                <w:szCs w:val="20"/>
              </w:rPr>
            </w:pPr>
            <w:r>
              <w:rPr>
                <w:rFonts w:ascii="Muli" w:eastAsia="Muli" w:hAnsi="Muli" w:cs="Muli"/>
                <w:b/>
                <w:color w:val="FF126D"/>
                <w:sz w:val="20"/>
                <w:szCs w:val="20"/>
              </w:rPr>
              <w:t>Science Tools poster</w:t>
            </w:r>
          </w:p>
        </w:tc>
      </w:tr>
      <w:tr w:rsidR="00C56CD1" w14:paraId="110DACB8" w14:textId="77777777" w:rsidTr="00A67DBC">
        <w:trPr>
          <w:trHeight w:val="10388"/>
        </w:trPr>
        <w:tc>
          <w:tcPr>
            <w:tcW w:w="9949" w:type="dxa"/>
            <w:tcMar>
              <w:top w:w="99" w:type="dxa"/>
              <w:left w:w="99" w:type="dxa"/>
              <w:bottom w:w="99" w:type="dxa"/>
              <w:right w:w="99" w:type="dxa"/>
            </w:tcMar>
          </w:tcPr>
          <w:p w14:paraId="2CC8F9C0" w14:textId="77777777" w:rsidR="00C56CD1" w:rsidRDefault="00DA00BA">
            <w:pPr>
              <w:pStyle w:val="normal0"/>
              <w:numPr>
                <w:ilvl w:val="0"/>
                <w:numId w:val="5"/>
              </w:numPr>
              <w:contextualSpacing/>
              <w:rPr>
                <w:rFonts w:ascii="Muli" w:eastAsia="Muli" w:hAnsi="Muli" w:cs="Muli"/>
                <w:sz w:val="20"/>
                <w:szCs w:val="20"/>
              </w:rPr>
            </w:pPr>
            <w:r>
              <w:rPr>
                <w:rFonts w:ascii="Muli" w:eastAsia="Muli" w:hAnsi="Muli" w:cs="Muli"/>
                <w:sz w:val="20"/>
                <w:szCs w:val="20"/>
              </w:rPr>
              <w:lastRenderedPageBreak/>
              <w:t>Engineering practices are fully embedded in this module. Students engage with science and engineering practices at the very start of the module, d</w:t>
            </w:r>
            <w:r>
              <w:rPr>
                <w:rFonts w:ascii="Muli" w:eastAsia="Muli" w:hAnsi="Muli" w:cs="Muli"/>
                <w:sz w:val="20"/>
                <w:szCs w:val="20"/>
              </w:rPr>
              <w:t xml:space="preserve">efining and delimiting their problem by choosing an endangered species to focus on during the module. By DQ4, they have enough knowledge of key concepts to further define their problem and develop possible solutions. </w:t>
            </w:r>
            <w:r>
              <w:rPr>
                <w:rFonts w:ascii="Muli" w:eastAsia="Muli" w:hAnsi="Muli" w:cs="Muli"/>
                <w:b/>
                <w:color w:val="FF126D"/>
                <w:sz w:val="20"/>
                <w:szCs w:val="20"/>
              </w:rPr>
              <w:t>(DQ4L3 Performance Task TE pp.266-280)</w:t>
            </w:r>
          </w:p>
        </w:tc>
        <w:tc>
          <w:tcPr>
            <w:tcW w:w="4665" w:type="dxa"/>
            <w:tcMar>
              <w:top w:w="99" w:type="dxa"/>
              <w:left w:w="99" w:type="dxa"/>
              <w:bottom w:w="99" w:type="dxa"/>
              <w:right w:w="99" w:type="dxa"/>
            </w:tcMar>
          </w:tcPr>
          <w:p w14:paraId="3521F63E" w14:textId="77777777" w:rsidR="00C56CD1" w:rsidRDefault="00DA00BA">
            <w:pPr>
              <w:pStyle w:val="normal0"/>
              <w:spacing w:before="15"/>
              <w:ind w:left="153"/>
              <w:rPr>
                <w:rFonts w:ascii="Muli" w:eastAsia="Muli" w:hAnsi="Muli" w:cs="Muli"/>
                <w:color w:val="FF0000"/>
                <w:sz w:val="20"/>
                <w:szCs w:val="20"/>
              </w:rPr>
            </w:pPr>
            <w:r>
              <w:rPr>
                <w:rFonts w:ascii="Muli" w:eastAsia="Muli" w:hAnsi="Muli" w:cs="Muli"/>
                <w:noProof/>
                <w:color w:val="FF0000"/>
                <w:sz w:val="20"/>
                <w:szCs w:val="20"/>
              </w:rPr>
              <w:drawing>
                <wp:inline distT="114300" distB="114300" distL="114300" distR="114300" wp14:anchorId="5F4B5666" wp14:editId="683E7413">
                  <wp:extent cx="2680406" cy="1804988"/>
                  <wp:effectExtent l="12700" t="12700" r="12700" b="12700"/>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1"/>
                          <a:srcRect/>
                          <a:stretch>
                            <a:fillRect/>
                          </a:stretch>
                        </pic:blipFill>
                        <pic:spPr>
                          <a:xfrm>
                            <a:off x="0" y="0"/>
                            <a:ext cx="2680406" cy="1804988"/>
                          </a:xfrm>
                          <a:prstGeom prst="rect">
                            <a:avLst/>
                          </a:prstGeom>
                          <a:ln w="12700">
                            <a:solidFill>
                              <a:srgbClr val="CCCCCC"/>
                            </a:solidFill>
                            <a:prstDash val="solid"/>
                          </a:ln>
                        </pic:spPr>
                      </pic:pic>
                    </a:graphicData>
                  </a:graphic>
                </wp:inline>
              </w:drawing>
            </w:r>
          </w:p>
          <w:p w14:paraId="72F08AE7" w14:textId="77777777" w:rsidR="00C56CD1" w:rsidRDefault="00DA00BA">
            <w:pPr>
              <w:pStyle w:val="normal0"/>
              <w:spacing w:before="15"/>
              <w:ind w:left="153"/>
              <w:rPr>
                <w:rFonts w:ascii="Muli" w:eastAsia="Muli" w:hAnsi="Muli" w:cs="Muli"/>
                <w:color w:val="FF0000"/>
                <w:sz w:val="20"/>
                <w:szCs w:val="20"/>
              </w:rPr>
            </w:pPr>
            <w:r>
              <w:rPr>
                <w:rFonts w:ascii="Muli" w:eastAsia="Muli" w:hAnsi="Muli" w:cs="Muli"/>
                <w:b/>
                <w:color w:val="FF126D"/>
                <w:sz w:val="20"/>
                <w:szCs w:val="20"/>
              </w:rPr>
              <w:t>DQ4L3 Performance Task TE pp.266-280</w:t>
            </w:r>
          </w:p>
        </w:tc>
      </w:tr>
      <w:tr w:rsidR="00C56CD1" w14:paraId="415B2688" w14:textId="77777777">
        <w:trPr>
          <w:trHeight w:val="340"/>
        </w:trPr>
        <w:tc>
          <w:tcPr>
            <w:tcW w:w="14614" w:type="dxa"/>
            <w:gridSpan w:val="2"/>
            <w:shd w:val="clear" w:color="auto" w:fill="CCCCCC"/>
          </w:tcPr>
          <w:p w14:paraId="54A7B86E" w14:textId="77777777" w:rsidR="00C56CD1" w:rsidRDefault="00DA00BA">
            <w:pPr>
              <w:pStyle w:val="normal0"/>
              <w:spacing w:before="44"/>
              <w:ind w:left="90" w:right="253"/>
              <w:rPr>
                <w:rFonts w:ascii="Muli" w:eastAsia="Muli" w:hAnsi="Muli" w:cs="Muli"/>
                <w:b/>
                <w:sz w:val="20"/>
                <w:szCs w:val="20"/>
              </w:rPr>
            </w:pPr>
            <w:r>
              <w:rPr>
                <w:rFonts w:ascii="Muli" w:eastAsia="Muli" w:hAnsi="Muli" w:cs="Muli"/>
                <w:b/>
                <w:sz w:val="20"/>
                <w:szCs w:val="20"/>
              </w:rPr>
              <w:lastRenderedPageBreak/>
              <w:t>TS3. Effective Teaching.</w:t>
            </w:r>
          </w:p>
        </w:tc>
      </w:tr>
      <w:tr w:rsidR="00C56CD1" w14:paraId="74C9E4EF" w14:textId="77777777">
        <w:trPr>
          <w:trHeight w:val="1040"/>
        </w:trPr>
        <w:tc>
          <w:tcPr>
            <w:tcW w:w="14614" w:type="dxa"/>
            <w:gridSpan w:val="2"/>
            <w:shd w:val="clear" w:color="auto" w:fill="F3F3F3"/>
            <w:tcMar>
              <w:top w:w="99" w:type="dxa"/>
              <w:left w:w="99" w:type="dxa"/>
              <w:bottom w:w="99" w:type="dxa"/>
              <w:right w:w="99" w:type="dxa"/>
            </w:tcMar>
          </w:tcPr>
          <w:p w14:paraId="60E20FB0" w14:textId="77777777" w:rsidR="00C56CD1" w:rsidRDefault="00DA00BA">
            <w:pPr>
              <w:pStyle w:val="normal0"/>
              <w:spacing w:before="42"/>
              <w:ind w:left="90"/>
              <w:rPr>
                <w:rFonts w:ascii="Muli" w:eastAsia="Muli" w:hAnsi="Muli" w:cs="Muli"/>
                <w:b/>
                <w:color w:val="2F5496"/>
                <w:sz w:val="20"/>
                <w:szCs w:val="20"/>
              </w:rPr>
            </w:pPr>
            <w:r>
              <w:rPr>
                <w:rFonts w:ascii="Muli" w:eastAsia="Muli" w:hAnsi="Muli" w:cs="Muli"/>
                <w:b/>
                <w:color w:val="2F5496"/>
                <w:sz w:val="20"/>
                <w:szCs w:val="20"/>
              </w:rPr>
              <w:t>The Module materials are High Quality 5 in regards to TS3.</w:t>
            </w:r>
          </w:p>
          <w:p w14:paraId="5B80BC6F" w14:textId="77777777" w:rsidR="00C56CD1" w:rsidRDefault="00DA00BA">
            <w:pPr>
              <w:pStyle w:val="normal0"/>
              <w:spacing w:before="42"/>
              <w:ind w:left="90"/>
              <w:rPr>
                <w:rFonts w:ascii="Muli" w:eastAsia="Muli" w:hAnsi="Muli" w:cs="Muli"/>
                <w:b/>
                <w:sz w:val="20"/>
                <w:szCs w:val="20"/>
              </w:rPr>
            </w:pPr>
            <w:r>
              <w:rPr>
                <w:rFonts w:ascii="Muli" w:eastAsia="Muli" w:hAnsi="Muli" w:cs="Muli"/>
                <w:sz w:val="20"/>
                <w:szCs w:val="20"/>
              </w:rPr>
              <w:t>They provide strong guidance to support students in learning through authentic and meaningful phenomena/problems, support student learning across the three dimensions, and develop students’ metacognitive abilities.</w:t>
            </w:r>
          </w:p>
        </w:tc>
      </w:tr>
      <w:tr w:rsidR="00C56CD1" w14:paraId="4B33E24C" w14:textId="77777777">
        <w:trPr>
          <w:trHeight w:val="2700"/>
        </w:trPr>
        <w:tc>
          <w:tcPr>
            <w:tcW w:w="9949" w:type="dxa"/>
            <w:tcMar>
              <w:top w:w="99" w:type="dxa"/>
              <w:left w:w="99" w:type="dxa"/>
              <w:bottom w:w="99" w:type="dxa"/>
              <w:right w:w="99" w:type="dxa"/>
            </w:tcMar>
          </w:tcPr>
          <w:p w14:paraId="00609346" w14:textId="77777777" w:rsidR="00C56CD1" w:rsidRDefault="00DA00BA">
            <w:pPr>
              <w:pStyle w:val="normal0"/>
              <w:spacing w:before="166"/>
              <w:ind w:left="90" w:right="151"/>
              <w:rPr>
                <w:rFonts w:ascii="Muli" w:eastAsia="Muli" w:hAnsi="Muli" w:cs="Muli"/>
                <w:b/>
                <w:color w:val="FF126D"/>
                <w:sz w:val="20"/>
                <w:szCs w:val="20"/>
              </w:rPr>
            </w:pPr>
            <w:r>
              <w:rPr>
                <w:rFonts w:ascii="Muli" w:eastAsia="Muli" w:hAnsi="Muli" w:cs="Muli"/>
                <w:b/>
                <w:color w:val="FF126D"/>
                <w:sz w:val="20"/>
                <w:szCs w:val="20"/>
              </w:rPr>
              <w:t>Evidence</w:t>
            </w:r>
          </w:p>
          <w:p w14:paraId="13FE8E05" w14:textId="77777777" w:rsidR="00C56CD1" w:rsidRDefault="00DA00BA">
            <w:pPr>
              <w:pStyle w:val="normal0"/>
              <w:numPr>
                <w:ilvl w:val="0"/>
                <w:numId w:val="22"/>
              </w:numPr>
              <w:spacing w:before="166"/>
              <w:ind w:right="360"/>
              <w:contextualSpacing/>
              <w:rPr>
                <w:rFonts w:ascii="Muli" w:eastAsia="Muli" w:hAnsi="Muli" w:cs="Muli"/>
                <w:sz w:val="20"/>
                <w:szCs w:val="20"/>
              </w:rPr>
            </w:pPr>
            <w:r>
              <w:rPr>
                <w:rFonts w:ascii="Muli" w:eastAsia="Muli" w:hAnsi="Muli" w:cs="Muli"/>
                <w:sz w:val="20"/>
                <w:szCs w:val="20"/>
              </w:rPr>
              <w:t>Instructional materials support authentic and meaningful learning experiences. Teacher support includes scaffolded discussion questions in the Teacher Edition (with sample answers), notes, background, Professional Learning videos, and Progress Trackers.</w:t>
            </w:r>
          </w:p>
          <w:p w14:paraId="279B0207" w14:textId="77777777" w:rsidR="00C56CD1" w:rsidRDefault="00DA00BA">
            <w:pPr>
              <w:pStyle w:val="normal0"/>
              <w:numPr>
                <w:ilvl w:val="0"/>
                <w:numId w:val="22"/>
              </w:numPr>
              <w:spacing w:before="166"/>
              <w:ind w:right="360"/>
              <w:contextualSpacing/>
              <w:rPr>
                <w:rFonts w:ascii="Muli" w:eastAsia="Muli" w:hAnsi="Muli" w:cs="Muli"/>
                <w:sz w:val="20"/>
                <w:szCs w:val="20"/>
              </w:rPr>
            </w:pPr>
            <w:r>
              <w:rPr>
                <w:rFonts w:ascii="Muli" w:eastAsia="Muli" w:hAnsi="Muli" w:cs="Muli"/>
                <w:sz w:val="20"/>
                <w:szCs w:val="20"/>
              </w:rPr>
              <w:t>3-</w:t>
            </w:r>
            <w:r>
              <w:rPr>
                <w:rFonts w:ascii="Muli" w:eastAsia="Muli" w:hAnsi="Muli" w:cs="Muli"/>
                <w:sz w:val="20"/>
                <w:szCs w:val="20"/>
              </w:rPr>
              <w:t xml:space="preserve">D Learning Objectives in each lesson provide teachers with information of how students will learn across the three dimensions, while lesson preparation provides further information on how to support students’ learning. </w:t>
            </w:r>
            <w:r>
              <w:rPr>
                <w:rFonts w:ascii="Muli" w:eastAsia="Muli" w:hAnsi="Muli" w:cs="Muli"/>
                <w:b/>
                <w:color w:val="FF126D"/>
                <w:sz w:val="20"/>
                <w:szCs w:val="20"/>
              </w:rPr>
              <w:t>DQ1L1 TE p. 9, DQ2L5 3-D Learning Obj</w:t>
            </w:r>
            <w:r>
              <w:rPr>
                <w:rFonts w:ascii="Muli" w:eastAsia="Muli" w:hAnsi="Muli" w:cs="Muli"/>
                <w:b/>
                <w:color w:val="FF126D"/>
                <w:sz w:val="20"/>
                <w:szCs w:val="20"/>
              </w:rPr>
              <w:t>ectives TE p. 130</w:t>
            </w:r>
          </w:p>
          <w:p w14:paraId="00A98ED6" w14:textId="77777777" w:rsidR="00C56CD1" w:rsidRDefault="00C56CD1">
            <w:pPr>
              <w:pStyle w:val="normal0"/>
              <w:spacing w:before="166"/>
              <w:ind w:left="720" w:right="360"/>
              <w:rPr>
                <w:rFonts w:ascii="Muli" w:eastAsia="Muli" w:hAnsi="Muli" w:cs="Muli"/>
                <w:color w:val="FF0000"/>
                <w:sz w:val="20"/>
                <w:szCs w:val="20"/>
              </w:rPr>
            </w:pPr>
          </w:p>
        </w:tc>
        <w:tc>
          <w:tcPr>
            <w:tcW w:w="4665" w:type="dxa"/>
            <w:tcMar>
              <w:top w:w="99" w:type="dxa"/>
              <w:left w:w="99" w:type="dxa"/>
              <w:bottom w:w="99" w:type="dxa"/>
              <w:right w:w="99" w:type="dxa"/>
            </w:tcMar>
          </w:tcPr>
          <w:p w14:paraId="03D94797" w14:textId="77777777" w:rsidR="00C56CD1" w:rsidRDefault="00DA00BA">
            <w:pPr>
              <w:pStyle w:val="normal0"/>
              <w:rPr>
                <w:rFonts w:ascii="Muli" w:eastAsia="Muli" w:hAnsi="Muli" w:cs="Muli"/>
                <w:sz w:val="20"/>
                <w:szCs w:val="20"/>
              </w:rPr>
            </w:pPr>
            <w:r>
              <w:rPr>
                <w:rFonts w:ascii="Muli" w:eastAsia="Muli" w:hAnsi="Muli" w:cs="Muli"/>
                <w:noProof/>
                <w:sz w:val="20"/>
                <w:szCs w:val="20"/>
              </w:rPr>
              <w:drawing>
                <wp:inline distT="114300" distB="114300" distL="114300" distR="114300" wp14:anchorId="3EF7E1C2" wp14:editId="469C95AF">
                  <wp:extent cx="2681288" cy="2997264"/>
                  <wp:effectExtent l="0" t="0" r="0" b="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2"/>
                          <a:srcRect/>
                          <a:stretch>
                            <a:fillRect/>
                          </a:stretch>
                        </pic:blipFill>
                        <pic:spPr>
                          <a:xfrm>
                            <a:off x="0" y="0"/>
                            <a:ext cx="2681288" cy="2997264"/>
                          </a:xfrm>
                          <a:prstGeom prst="rect">
                            <a:avLst/>
                          </a:prstGeom>
                          <a:ln/>
                        </pic:spPr>
                      </pic:pic>
                    </a:graphicData>
                  </a:graphic>
                </wp:inline>
              </w:drawing>
            </w:r>
          </w:p>
          <w:p w14:paraId="419C26E6" w14:textId="77777777" w:rsidR="00C56CD1" w:rsidRDefault="00DA00BA">
            <w:pPr>
              <w:pStyle w:val="normal0"/>
              <w:spacing w:before="166"/>
              <w:ind w:right="360"/>
              <w:rPr>
                <w:rFonts w:ascii="Muli" w:eastAsia="Muli" w:hAnsi="Muli" w:cs="Muli"/>
                <w:b/>
                <w:color w:val="FF126D"/>
                <w:sz w:val="20"/>
                <w:szCs w:val="20"/>
              </w:rPr>
            </w:pPr>
            <w:r>
              <w:rPr>
                <w:rFonts w:ascii="Muli" w:eastAsia="Muli" w:hAnsi="Muli" w:cs="Muli"/>
                <w:b/>
                <w:color w:val="FF126D"/>
                <w:sz w:val="20"/>
                <w:szCs w:val="20"/>
              </w:rPr>
              <w:t>DQ1L1 TE p. 9</w:t>
            </w:r>
          </w:p>
          <w:p w14:paraId="1E8D2FFD" w14:textId="77777777" w:rsidR="00C56CD1" w:rsidRDefault="00C56CD1">
            <w:pPr>
              <w:pStyle w:val="normal0"/>
              <w:spacing w:before="166"/>
              <w:ind w:right="360"/>
              <w:rPr>
                <w:rFonts w:ascii="Muli" w:eastAsia="Muli" w:hAnsi="Muli" w:cs="Muli"/>
                <w:b/>
                <w:color w:val="FF126D"/>
                <w:sz w:val="20"/>
                <w:szCs w:val="20"/>
              </w:rPr>
            </w:pPr>
          </w:p>
          <w:p w14:paraId="2976BCC0" w14:textId="77777777" w:rsidR="00C56CD1" w:rsidRDefault="00DA00BA">
            <w:pPr>
              <w:pStyle w:val="normal0"/>
              <w:spacing w:before="166"/>
              <w:ind w:right="360"/>
              <w:rPr>
                <w:rFonts w:ascii="Muli" w:eastAsia="Muli" w:hAnsi="Muli" w:cs="Muli"/>
                <w:b/>
                <w:color w:val="FF126D"/>
                <w:sz w:val="20"/>
                <w:szCs w:val="20"/>
              </w:rPr>
            </w:pPr>
            <w:r>
              <w:rPr>
                <w:rFonts w:ascii="Muli" w:eastAsia="Muli" w:hAnsi="Muli" w:cs="Muli"/>
                <w:b/>
                <w:noProof/>
                <w:color w:val="FF126D"/>
                <w:sz w:val="20"/>
                <w:szCs w:val="20"/>
              </w:rPr>
              <w:lastRenderedPageBreak/>
              <w:drawing>
                <wp:inline distT="114300" distB="114300" distL="114300" distR="114300" wp14:anchorId="00273BFC" wp14:editId="7C34EB1D">
                  <wp:extent cx="2528888" cy="2528888"/>
                  <wp:effectExtent l="0" t="0" r="0" b="0"/>
                  <wp:docPr id="5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3"/>
                          <a:srcRect/>
                          <a:stretch>
                            <a:fillRect/>
                          </a:stretch>
                        </pic:blipFill>
                        <pic:spPr>
                          <a:xfrm>
                            <a:off x="0" y="0"/>
                            <a:ext cx="2528888" cy="2528888"/>
                          </a:xfrm>
                          <a:prstGeom prst="rect">
                            <a:avLst/>
                          </a:prstGeom>
                          <a:ln/>
                        </pic:spPr>
                      </pic:pic>
                    </a:graphicData>
                  </a:graphic>
                </wp:inline>
              </w:drawing>
            </w:r>
            <w:r>
              <w:rPr>
                <w:rFonts w:ascii="Muli" w:eastAsia="Muli" w:hAnsi="Muli" w:cs="Muli"/>
                <w:b/>
                <w:color w:val="FF126D"/>
                <w:sz w:val="20"/>
                <w:szCs w:val="20"/>
              </w:rPr>
              <w:t>DQ2L5 3-D Learning Objectives TE p. 130</w:t>
            </w:r>
          </w:p>
        </w:tc>
      </w:tr>
      <w:tr w:rsidR="00C56CD1" w14:paraId="6BF90775" w14:textId="77777777">
        <w:trPr>
          <w:trHeight w:val="1860"/>
        </w:trPr>
        <w:tc>
          <w:tcPr>
            <w:tcW w:w="9949" w:type="dxa"/>
            <w:tcMar>
              <w:top w:w="99" w:type="dxa"/>
              <w:left w:w="99" w:type="dxa"/>
              <w:bottom w:w="99" w:type="dxa"/>
              <w:right w:w="99" w:type="dxa"/>
            </w:tcMar>
          </w:tcPr>
          <w:p w14:paraId="207D6191" w14:textId="77777777" w:rsidR="00C56CD1" w:rsidRDefault="00DA00BA">
            <w:pPr>
              <w:pStyle w:val="normal0"/>
              <w:numPr>
                <w:ilvl w:val="0"/>
                <w:numId w:val="22"/>
              </w:numPr>
              <w:ind w:right="360"/>
              <w:contextualSpacing/>
              <w:rPr>
                <w:rFonts w:ascii="Muli" w:eastAsia="Muli" w:hAnsi="Muli" w:cs="Muli"/>
                <w:sz w:val="20"/>
                <w:szCs w:val="20"/>
              </w:rPr>
            </w:pPr>
            <w:r>
              <w:rPr>
                <w:rFonts w:ascii="Muli" w:eastAsia="Muli" w:hAnsi="Muli" w:cs="Muli"/>
                <w:sz w:val="20"/>
                <w:szCs w:val="20"/>
              </w:rPr>
              <w:lastRenderedPageBreak/>
              <w:t xml:space="preserve">The teacher is supported in the instructional material to connect their learning experiences back to the Module Phenomenon at strategic points with discussions where students share their ideas and evidence for how to approach this problem. For example, </w:t>
            </w:r>
            <w:r>
              <w:rPr>
                <w:rFonts w:ascii="Muli" w:eastAsia="Muli" w:hAnsi="Muli" w:cs="Muli"/>
                <w:b/>
                <w:color w:val="FF126D"/>
                <w:sz w:val="20"/>
                <w:szCs w:val="20"/>
              </w:rPr>
              <w:t>DQ2</w:t>
            </w:r>
            <w:r>
              <w:rPr>
                <w:rFonts w:ascii="Muli" w:eastAsia="Muli" w:hAnsi="Muli" w:cs="Muli"/>
                <w:b/>
                <w:color w:val="FF126D"/>
                <w:sz w:val="20"/>
                <w:szCs w:val="20"/>
              </w:rPr>
              <w:t>L3 TE p. 119</w:t>
            </w:r>
            <w:r>
              <w:rPr>
                <w:rFonts w:ascii="Muli" w:eastAsia="Muli" w:hAnsi="Muli" w:cs="Muli"/>
                <w:sz w:val="20"/>
                <w:szCs w:val="20"/>
              </w:rPr>
              <w:t xml:space="preserve">, </w:t>
            </w:r>
            <w:r>
              <w:rPr>
                <w:rFonts w:ascii="Muli" w:eastAsia="Muli" w:hAnsi="Muli" w:cs="Muli"/>
                <w:b/>
                <w:color w:val="FF126D"/>
                <w:sz w:val="20"/>
                <w:szCs w:val="20"/>
              </w:rPr>
              <w:t>DQ2L4 TE p. 128</w:t>
            </w:r>
            <w:r>
              <w:rPr>
                <w:rFonts w:ascii="Muli" w:eastAsia="Muli" w:hAnsi="Muli" w:cs="Muli"/>
                <w:sz w:val="20"/>
                <w:szCs w:val="20"/>
              </w:rPr>
              <w:t>.</w:t>
            </w:r>
          </w:p>
        </w:tc>
        <w:tc>
          <w:tcPr>
            <w:tcW w:w="4665" w:type="dxa"/>
            <w:tcMar>
              <w:top w:w="99" w:type="dxa"/>
              <w:left w:w="99" w:type="dxa"/>
              <w:bottom w:w="99" w:type="dxa"/>
              <w:right w:w="99" w:type="dxa"/>
            </w:tcMar>
          </w:tcPr>
          <w:p w14:paraId="0514B6FE" w14:textId="77777777" w:rsidR="00C56CD1" w:rsidRDefault="00DA00BA">
            <w:pPr>
              <w:pStyle w:val="normal0"/>
              <w:ind w:left="90" w:hanging="90"/>
              <w:rPr>
                <w:rFonts w:ascii="Muli" w:eastAsia="Muli" w:hAnsi="Muli" w:cs="Muli"/>
                <w:sz w:val="20"/>
                <w:szCs w:val="20"/>
              </w:rPr>
            </w:pPr>
            <w:r>
              <w:rPr>
                <w:rFonts w:ascii="Muli" w:eastAsia="Muli" w:hAnsi="Muli" w:cs="Muli"/>
                <w:noProof/>
                <w:sz w:val="20"/>
                <w:szCs w:val="20"/>
              </w:rPr>
              <w:drawing>
                <wp:inline distT="114300" distB="114300" distL="114300" distR="114300" wp14:anchorId="152CBD10" wp14:editId="705DC489">
                  <wp:extent cx="2828925" cy="736600"/>
                  <wp:effectExtent l="12700" t="12700" r="12700" b="12700"/>
                  <wp:docPr id="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2828925" cy="736600"/>
                          </a:xfrm>
                          <a:prstGeom prst="rect">
                            <a:avLst/>
                          </a:prstGeom>
                          <a:ln w="12700">
                            <a:solidFill>
                              <a:srgbClr val="CCCCCC"/>
                            </a:solidFill>
                            <a:prstDash val="solid"/>
                          </a:ln>
                        </pic:spPr>
                      </pic:pic>
                    </a:graphicData>
                  </a:graphic>
                </wp:inline>
              </w:drawing>
            </w:r>
          </w:p>
          <w:p w14:paraId="06BCF469" w14:textId="77777777" w:rsidR="00C56CD1" w:rsidRDefault="00DA00BA">
            <w:pPr>
              <w:pStyle w:val="normal0"/>
              <w:ind w:right="360"/>
              <w:rPr>
                <w:rFonts w:ascii="Muli" w:eastAsia="Muli" w:hAnsi="Muli" w:cs="Muli"/>
                <w:b/>
                <w:color w:val="FF126D"/>
                <w:sz w:val="20"/>
                <w:szCs w:val="20"/>
              </w:rPr>
            </w:pPr>
            <w:r>
              <w:rPr>
                <w:rFonts w:ascii="Muli" w:eastAsia="Muli" w:hAnsi="Muli" w:cs="Muli"/>
                <w:b/>
                <w:color w:val="FF126D"/>
                <w:sz w:val="20"/>
                <w:szCs w:val="20"/>
              </w:rPr>
              <w:t>DQ2L3 TE p. 119</w:t>
            </w:r>
          </w:p>
          <w:p w14:paraId="19F91439" w14:textId="77777777" w:rsidR="00C56CD1" w:rsidRDefault="00C56CD1">
            <w:pPr>
              <w:pStyle w:val="normal0"/>
              <w:ind w:right="360"/>
              <w:rPr>
                <w:rFonts w:ascii="Muli" w:eastAsia="Muli" w:hAnsi="Muli" w:cs="Muli"/>
                <w:b/>
                <w:color w:val="FF126D"/>
                <w:sz w:val="20"/>
                <w:szCs w:val="20"/>
              </w:rPr>
            </w:pPr>
          </w:p>
          <w:p w14:paraId="03898B67" w14:textId="77777777" w:rsidR="00C56CD1" w:rsidRDefault="00DA00BA">
            <w:pPr>
              <w:pStyle w:val="normal0"/>
              <w:ind w:right="36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58499EAC" wp14:editId="1B5923B3">
                  <wp:extent cx="2828925" cy="1689100"/>
                  <wp:effectExtent l="12700" t="12700" r="12700" b="12700"/>
                  <wp:docPr id="3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2828925" cy="1689100"/>
                          </a:xfrm>
                          <a:prstGeom prst="rect">
                            <a:avLst/>
                          </a:prstGeom>
                          <a:ln w="12700">
                            <a:solidFill>
                              <a:srgbClr val="CCCCCC"/>
                            </a:solidFill>
                            <a:prstDash val="solid"/>
                          </a:ln>
                        </pic:spPr>
                      </pic:pic>
                    </a:graphicData>
                  </a:graphic>
                </wp:inline>
              </w:drawing>
            </w:r>
          </w:p>
          <w:p w14:paraId="4EB5A6D7" w14:textId="77777777" w:rsidR="00C56CD1" w:rsidRDefault="00DA00BA">
            <w:pPr>
              <w:pStyle w:val="normal0"/>
              <w:ind w:right="360"/>
              <w:rPr>
                <w:rFonts w:ascii="Muli" w:eastAsia="Muli" w:hAnsi="Muli" w:cs="Muli"/>
                <w:b/>
                <w:color w:val="FF126D"/>
                <w:sz w:val="20"/>
                <w:szCs w:val="20"/>
              </w:rPr>
            </w:pPr>
            <w:r>
              <w:rPr>
                <w:rFonts w:ascii="Muli" w:eastAsia="Muli" w:hAnsi="Muli" w:cs="Muli"/>
                <w:b/>
                <w:color w:val="FF126D"/>
                <w:sz w:val="20"/>
                <w:szCs w:val="20"/>
              </w:rPr>
              <w:t>DQ2L4 TE p. 128</w:t>
            </w:r>
          </w:p>
          <w:p w14:paraId="29CE5754" w14:textId="77777777" w:rsidR="00C56CD1" w:rsidRDefault="00C56CD1">
            <w:pPr>
              <w:pStyle w:val="normal0"/>
              <w:ind w:right="360"/>
              <w:rPr>
                <w:rFonts w:ascii="Muli" w:eastAsia="Muli" w:hAnsi="Muli" w:cs="Muli"/>
                <w:b/>
                <w:color w:val="FF126D"/>
                <w:sz w:val="20"/>
                <w:szCs w:val="20"/>
              </w:rPr>
            </w:pPr>
          </w:p>
        </w:tc>
      </w:tr>
      <w:tr w:rsidR="00C56CD1" w14:paraId="1EF94596" w14:textId="77777777">
        <w:trPr>
          <w:trHeight w:val="1100"/>
        </w:trPr>
        <w:tc>
          <w:tcPr>
            <w:tcW w:w="9949" w:type="dxa"/>
            <w:tcMar>
              <w:top w:w="99" w:type="dxa"/>
              <w:left w:w="99" w:type="dxa"/>
              <w:bottom w:w="99" w:type="dxa"/>
              <w:right w:w="99" w:type="dxa"/>
            </w:tcMar>
          </w:tcPr>
          <w:p w14:paraId="4B9FFA74" w14:textId="77777777" w:rsidR="00C56CD1" w:rsidRDefault="00DA00BA">
            <w:pPr>
              <w:pStyle w:val="normal0"/>
              <w:numPr>
                <w:ilvl w:val="0"/>
                <w:numId w:val="22"/>
              </w:numPr>
              <w:ind w:right="360"/>
              <w:contextualSpacing/>
              <w:rPr>
                <w:rFonts w:ascii="Muli" w:eastAsia="Muli" w:hAnsi="Muli" w:cs="Muli"/>
                <w:sz w:val="20"/>
                <w:szCs w:val="20"/>
              </w:rPr>
            </w:pPr>
            <w:r>
              <w:rPr>
                <w:rFonts w:ascii="Muli" w:eastAsia="Muli" w:hAnsi="Muli" w:cs="Muli"/>
                <w:sz w:val="20"/>
                <w:szCs w:val="20"/>
              </w:rPr>
              <w:lastRenderedPageBreak/>
              <w:t>Teachers use a number of Language Routines</w:t>
            </w:r>
            <w:r>
              <w:rPr>
                <w:rFonts w:ascii="Muli" w:eastAsia="Muli" w:hAnsi="Muli" w:cs="Muli"/>
                <w:sz w:val="20"/>
                <w:szCs w:val="20"/>
              </w:rPr>
              <w:t xml:space="preserve">, discussions, and metacognitive strategies to ensure that students are reflecting on what they are learning and how they are learning it. For example, the teacher uses a Meta-Think-Aloud to show how a reader might figure out the meaning of the word </w:t>
            </w:r>
            <w:r>
              <w:rPr>
                <w:rFonts w:ascii="Muli" w:eastAsia="Muli" w:hAnsi="Muli" w:cs="Muli"/>
                <w:i/>
                <w:sz w:val="20"/>
                <w:szCs w:val="20"/>
              </w:rPr>
              <w:t>gestat</w:t>
            </w:r>
            <w:r>
              <w:rPr>
                <w:rFonts w:ascii="Muli" w:eastAsia="Muli" w:hAnsi="Muli" w:cs="Muli"/>
                <w:i/>
                <w:sz w:val="20"/>
                <w:szCs w:val="20"/>
              </w:rPr>
              <w:t>ion</w:t>
            </w:r>
            <w:r>
              <w:rPr>
                <w:rFonts w:ascii="Muli" w:eastAsia="Muli" w:hAnsi="Muli" w:cs="Muli"/>
                <w:sz w:val="20"/>
                <w:szCs w:val="20"/>
              </w:rPr>
              <w:t xml:space="preserve"> (</w:t>
            </w:r>
            <w:r>
              <w:rPr>
                <w:rFonts w:ascii="Muli" w:eastAsia="Muli" w:hAnsi="Muli" w:cs="Muli"/>
                <w:b/>
                <w:color w:val="FF126D"/>
                <w:sz w:val="20"/>
                <w:szCs w:val="20"/>
              </w:rPr>
              <w:t>DQ1L7 TE p. 59</w:t>
            </w:r>
            <w:r>
              <w:rPr>
                <w:rFonts w:ascii="Muli" w:eastAsia="Muli" w:hAnsi="Muli" w:cs="Muli"/>
                <w:sz w:val="20"/>
                <w:szCs w:val="20"/>
              </w:rPr>
              <w:t>).</w:t>
            </w:r>
          </w:p>
        </w:tc>
        <w:tc>
          <w:tcPr>
            <w:tcW w:w="4665" w:type="dxa"/>
            <w:tcMar>
              <w:top w:w="99" w:type="dxa"/>
              <w:left w:w="99" w:type="dxa"/>
              <w:bottom w:w="99" w:type="dxa"/>
              <w:right w:w="99" w:type="dxa"/>
            </w:tcMar>
          </w:tcPr>
          <w:p w14:paraId="53582428" w14:textId="77777777" w:rsidR="00C56CD1" w:rsidRDefault="00DA00BA">
            <w:pPr>
              <w:pStyle w:val="normal0"/>
              <w:rPr>
                <w:rFonts w:ascii="Muli" w:eastAsia="Muli" w:hAnsi="Muli" w:cs="Muli"/>
                <w:sz w:val="20"/>
                <w:szCs w:val="20"/>
              </w:rPr>
            </w:pPr>
            <w:r>
              <w:rPr>
                <w:rFonts w:ascii="Muli" w:eastAsia="Muli" w:hAnsi="Muli" w:cs="Muli"/>
                <w:noProof/>
                <w:sz w:val="20"/>
                <w:szCs w:val="20"/>
              </w:rPr>
              <w:drawing>
                <wp:inline distT="114300" distB="114300" distL="114300" distR="114300" wp14:anchorId="45BB3D21" wp14:editId="3B24F02F">
                  <wp:extent cx="2767013" cy="1388165"/>
                  <wp:effectExtent l="12700" t="12700" r="12700" b="12700"/>
                  <wp:docPr id="4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0"/>
                          <a:srcRect/>
                          <a:stretch>
                            <a:fillRect/>
                          </a:stretch>
                        </pic:blipFill>
                        <pic:spPr>
                          <a:xfrm>
                            <a:off x="0" y="0"/>
                            <a:ext cx="2767013" cy="1388165"/>
                          </a:xfrm>
                          <a:prstGeom prst="rect">
                            <a:avLst/>
                          </a:prstGeom>
                          <a:ln w="12700">
                            <a:solidFill>
                              <a:srgbClr val="CCCCCC"/>
                            </a:solidFill>
                            <a:prstDash val="solid"/>
                          </a:ln>
                        </pic:spPr>
                      </pic:pic>
                    </a:graphicData>
                  </a:graphic>
                </wp:inline>
              </w:drawing>
            </w:r>
          </w:p>
          <w:p w14:paraId="77700192" w14:textId="77777777" w:rsidR="00C56CD1" w:rsidRDefault="00DA00BA">
            <w:pPr>
              <w:pStyle w:val="normal0"/>
              <w:ind w:right="360"/>
              <w:rPr>
                <w:rFonts w:ascii="Muli" w:eastAsia="Muli" w:hAnsi="Muli" w:cs="Muli"/>
                <w:sz w:val="20"/>
                <w:szCs w:val="20"/>
              </w:rPr>
            </w:pPr>
            <w:r>
              <w:rPr>
                <w:rFonts w:ascii="Muli" w:eastAsia="Muli" w:hAnsi="Muli" w:cs="Muli"/>
                <w:b/>
                <w:color w:val="FF126D"/>
                <w:sz w:val="20"/>
                <w:szCs w:val="20"/>
              </w:rPr>
              <w:t>DQ1L7 TE p. 59</w:t>
            </w:r>
          </w:p>
        </w:tc>
      </w:tr>
      <w:tr w:rsidR="00C56CD1" w14:paraId="07B39AB7" w14:textId="77777777">
        <w:trPr>
          <w:trHeight w:val="320"/>
        </w:trPr>
        <w:tc>
          <w:tcPr>
            <w:tcW w:w="14614" w:type="dxa"/>
            <w:gridSpan w:val="2"/>
            <w:shd w:val="clear" w:color="auto" w:fill="CCCCCC"/>
          </w:tcPr>
          <w:p w14:paraId="5BEF5598" w14:textId="77777777" w:rsidR="00C56CD1" w:rsidRDefault="00DA00BA">
            <w:pPr>
              <w:pStyle w:val="normal0"/>
              <w:spacing w:before="44"/>
              <w:ind w:left="90" w:right="176"/>
              <w:rPr>
                <w:rFonts w:ascii="Muli" w:eastAsia="Muli" w:hAnsi="Muli" w:cs="Muli"/>
                <w:b/>
                <w:sz w:val="20"/>
                <w:szCs w:val="20"/>
              </w:rPr>
            </w:pPr>
            <w:r>
              <w:rPr>
                <w:rFonts w:ascii="Muli" w:eastAsia="Muli" w:hAnsi="Muli" w:cs="Muli"/>
                <w:b/>
                <w:sz w:val="20"/>
                <w:szCs w:val="20"/>
              </w:rPr>
              <w:t>TS4. Support for Students with Diverse Learning Needs.</w:t>
            </w:r>
          </w:p>
        </w:tc>
      </w:tr>
      <w:tr w:rsidR="00C56CD1" w14:paraId="5DBA909A" w14:textId="77777777">
        <w:trPr>
          <w:trHeight w:val="540"/>
        </w:trPr>
        <w:tc>
          <w:tcPr>
            <w:tcW w:w="14614" w:type="dxa"/>
            <w:gridSpan w:val="2"/>
            <w:shd w:val="clear" w:color="auto" w:fill="F3F3F3"/>
            <w:tcMar>
              <w:top w:w="99" w:type="dxa"/>
              <w:left w:w="99" w:type="dxa"/>
              <w:bottom w:w="99" w:type="dxa"/>
              <w:right w:w="99" w:type="dxa"/>
            </w:tcMar>
          </w:tcPr>
          <w:p w14:paraId="10430093" w14:textId="77777777" w:rsidR="00C56CD1" w:rsidRDefault="00DA00BA">
            <w:pPr>
              <w:pStyle w:val="normal0"/>
              <w:spacing w:before="42"/>
              <w:ind w:left="90"/>
              <w:rPr>
                <w:rFonts w:ascii="Muli" w:eastAsia="Muli" w:hAnsi="Muli" w:cs="Muli"/>
                <w:b/>
                <w:color w:val="2F5496"/>
                <w:sz w:val="20"/>
                <w:szCs w:val="20"/>
              </w:rPr>
            </w:pPr>
            <w:r>
              <w:rPr>
                <w:rFonts w:ascii="Muli" w:eastAsia="Muli" w:hAnsi="Muli" w:cs="Muli"/>
                <w:b/>
                <w:color w:val="2F5496"/>
                <w:sz w:val="20"/>
                <w:szCs w:val="20"/>
              </w:rPr>
              <w:t>The Module materials are High Quality 5 in regards to TS4.</w:t>
            </w:r>
          </w:p>
          <w:p w14:paraId="7579D3AD" w14:textId="77777777" w:rsidR="00C56CD1" w:rsidRDefault="00DA00BA">
            <w:pPr>
              <w:pStyle w:val="normal0"/>
              <w:spacing w:before="42"/>
              <w:ind w:left="90"/>
              <w:rPr>
                <w:rFonts w:ascii="Muli" w:eastAsia="Muli" w:hAnsi="Muli" w:cs="Muli"/>
                <w:b/>
                <w:sz w:val="20"/>
                <w:szCs w:val="20"/>
              </w:rPr>
            </w:pPr>
            <w:r>
              <w:rPr>
                <w:rFonts w:ascii="Muli" w:eastAsia="Muli" w:hAnsi="Muli" w:cs="Muli"/>
                <w:sz w:val="20"/>
                <w:szCs w:val="20"/>
              </w:rPr>
              <w:t>They provide a strong array of strategies to support student access to the targeted learning goals and help teachers differentiate instruction.</w:t>
            </w:r>
          </w:p>
        </w:tc>
      </w:tr>
      <w:tr w:rsidR="00C56CD1" w14:paraId="43303AD3" w14:textId="77777777">
        <w:trPr>
          <w:trHeight w:val="680"/>
        </w:trPr>
        <w:tc>
          <w:tcPr>
            <w:tcW w:w="9949" w:type="dxa"/>
            <w:tcMar>
              <w:top w:w="99" w:type="dxa"/>
              <w:left w:w="99" w:type="dxa"/>
              <w:bottom w:w="99" w:type="dxa"/>
              <w:right w:w="99" w:type="dxa"/>
            </w:tcMar>
          </w:tcPr>
          <w:p w14:paraId="594A4E6B" w14:textId="77777777" w:rsidR="00C56CD1" w:rsidRDefault="00DA00BA">
            <w:pPr>
              <w:pStyle w:val="normal0"/>
              <w:ind w:left="90"/>
              <w:rPr>
                <w:rFonts w:ascii="Muli" w:eastAsia="Muli" w:hAnsi="Muli" w:cs="Muli"/>
                <w:color w:val="FF126D"/>
                <w:sz w:val="20"/>
                <w:szCs w:val="20"/>
              </w:rPr>
            </w:pPr>
            <w:r>
              <w:rPr>
                <w:rFonts w:ascii="Muli" w:eastAsia="Muli" w:hAnsi="Muli" w:cs="Muli"/>
                <w:b/>
                <w:color w:val="FF126D"/>
                <w:sz w:val="20"/>
                <w:szCs w:val="20"/>
              </w:rPr>
              <w:t>Evidence</w:t>
            </w:r>
          </w:p>
          <w:p w14:paraId="12AF3CFC" w14:textId="77777777" w:rsidR="00C56CD1" w:rsidRDefault="00DA00BA">
            <w:pPr>
              <w:pStyle w:val="normal0"/>
              <w:numPr>
                <w:ilvl w:val="0"/>
                <w:numId w:val="16"/>
              </w:numPr>
              <w:contextualSpacing/>
              <w:rPr>
                <w:rFonts w:ascii="Muli" w:eastAsia="Muli" w:hAnsi="Muli" w:cs="Muli"/>
                <w:sz w:val="20"/>
                <w:szCs w:val="20"/>
              </w:rPr>
            </w:pPr>
            <w:r>
              <w:rPr>
                <w:rFonts w:ascii="Muli" w:eastAsia="Muli" w:hAnsi="Muli" w:cs="Muli"/>
                <w:sz w:val="20"/>
                <w:szCs w:val="20"/>
              </w:rPr>
              <w:t>Integrated English Learner sidebars offer teachers guidance to support students’ engagement with the m</w:t>
            </w:r>
            <w:r>
              <w:rPr>
                <w:rFonts w:ascii="Muli" w:eastAsia="Muli" w:hAnsi="Muli" w:cs="Muli"/>
                <w:sz w:val="20"/>
                <w:szCs w:val="20"/>
              </w:rPr>
              <w:t>aterial (</w:t>
            </w:r>
            <w:r>
              <w:rPr>
                <w:rFonts w:ascii="Muli" w:eastAsia="Muli" w:hAnsi="Muli" w:cs="Muli"/>
                <w:b/>
                <w:color w:val="FF126D"/>
                <w:sz w:val="20"/>
                <w:szCs w:val="20"/>
              </w:rPr>
              <w:t>DQ1L8 TE p. 67</w:t>
            </w:r>
            <w:r>
              <w:rPr>
                <w:rFonts w:ascii="Muli" w:eastAsia="Muli" w:hAnsi="Muli" w:cs="Muli"/>
                <w:sz w:val="20"/>
                <w:szCs w:val="20"/>
              </w:rPr>
              <w:t xml:space="preserve">, </w:t>
            </w:r>
            <w:r>
              <w:rPr>
                <w:rFonts w:ascii="Muli" w:eastAsia="Muli" w:hAnsi="Muli" w:cs="Muli"/>
                <w:b/>
                <w:color w:val="FF126D"/>
                <w:sz w:val="20"/>
                <w:szCs w:val="20"/>
              </w:rPr>
              <w:t>DQ2L3 p. 118,</w:t>
            </w:r>
            <w:r>
              <w:rPr>
                <w:rFonts w:ascii="Muli" w:eastAsia="Muli" w:hAnsi="Muli" w:cs="Muli"/>
                <w:sz w:val="20"/>
                <w:szCs w:val="20"/>
              </w:rPr>
              <w:t xml:space="preserve"> DQ2L11 TE p. 179, DQ3L5 TE p. 218, DQ4L2 TE p. 261).</w:t>
            </w:r>
          </w:p>
        </w:tc>
        <w:tc>
          <w:tcPr>
            <w:tcW w:w="4665" w:type="dxa"/>
            <w:tcMar>
              <w:top w:w="99" w:type="dxa"/>
              <w:left w:w="99" w:type="dxa"/>
              <w:bottom w:w="99" w:type="dxa"/>
              <w:right w:w="99" w:type="dxa"/>
            </w:tcMar>
          </w:tcPr>
          <w:p w14:paraId="67C3486A" w14:textId="77777777" w:rsidR="00C56CD1" w:rsidRDefault="00DA00BA">
            <w:pPr>
              <w:pStyle w:val="normal0"/>
              <w:rPr>
                <w:rFonts w:ascii="Muli" w:eastAsia="Muli" w:hAnsi="Muli" w:cs="Muli"/>
                <w:sz w:val="20"/>
                <w:szCs w:val="20"/>
              </w:rPr>
            </w:pPr>
            <w:r>
              <w:rPr>
                <w:rFonts w:ascii="Muli" w:eastAsia="Muli" w:hAnsi="Muli" w:cs="Muli"/>
                <w:noProof/>
                <w:sz w:val="20"/>
                <w:szCs w:val="20"/>
              </w:rPr>
              <w:drawing>
                <wp:inline distT="114300" distB="114300" distL="114300" distR="114300" wp14:anchorId="131F02B5" wp14:editId="27B7A61C">
                  <wp:extent cx="2428875" cy="2190750"/>
                  <wp:effectExtent l="0" t="0" r="0" b="0"/>
                  <wp:docPr id="3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a:srcRect/>
                          <a:stretch>
                            <a:fillRect/>
                          </a:stretch>
                        </pic:blipFill>
                        <pic:spPr>
                          <a:xfrm>
                            <a:off x="0" y="0"/>
                            <a:ext cx="2428875" cy="2190750"/>
                          </a:xfrm>
                          <a:prstGeom prst="rect">
                            <a:avLst/>
                          </a:prstGeom>
                          <a:ln/>
                        </pic:spPr>
                      </pic:pic>
                    </a:graphicData>
                  </a:graphic>
                </wp:inline>
              </w:drawing>
            </w:r>
          </w:p>
          <w:p w14:paraId="49BE058A" w14:textId="77777777" w:rsidR="00C56CD1" w:rsidRDefault="00DA00BA">
            <w:pPr>
              <w:pStyle w:val="normal0"/>
              <w:rPr>
                <w:rFonts w:ascii="Muli" w:eastAsia="Muli" w:hAnsi="Muli" w:cs="Muli"/>
                <w:b/>
                <w:color w:val="FF126D"/>
                <w:sz w:val="20"/>
                <w:szCs w:val="20"/>
              </w:rPr>
            </w:pPr>
            <w:r>
              <w:rPr>
                <w:rFonts w:ascii="Muli" w:eastAsia="Muli" w:hAnsi="Muli" w:cs="Muli"/>
                <w:b/>
                <w:color w:val="FF126D"/>
                <w:sz w:val="20"/>
                <w:szCs w:val="20"/>
              </w:rPr>
              <w:t>DQ1L8 TE p. 67</w:t>
            </w:r>
          </w:p>
          <w:p w14:paraId="19E762B7" w14:textId="77777777" w:rsidR="00C56CD1" w:rsidRDefault="00C56CD1">
            <w:pPr>
              <w:pStyle w:val="normal0"/>
              <w:rPr>
                <w:rFonts w:ascii="Muli" w:eastAsia="Muli" w:hAnsi="Muli" w:cs="Muli"/>
                <w:b/>
                <w:color w:val="FF126D"/>
                <w:sz w:val="20"/>
                <w:szCs w:val="20"/>
              </w:rPr>
            </w:pPr>
          </w:p>
          <w:p w14:paraId="5CC2C951" w14:textId="77777777" w:rsidR="00C56CD1" w:rsidRDefault="00DA00BA">
            <w:pPr>
              <w:pStyle w:val="normal0"/>
              <w:rPr>
                <w:rFonts w:ascii="Muli" w:eastAsia="Muli" w:hAnsi="Muli" w:cs="Muli"/>
                <w:b/>
                <w:color w:val="FF126D"/>
                <w:sz w:val="20"/>
                <w:szCs w:val="20"/>
              </w:rPr>
            </w:pPr>
            <w:r>
              <w:rPr>
                <w:rFonts w:ascii="Muli" w:eastAsia="Muli" w:hAnsi="Muli" w:cs="Muli"/>
                <w:b/>
                <w:noProof/>
                <w:color w:val="FF126D"/>
                <w:sz w:val="20"/>
                <w:szCs w:val="20"/>
              </w:rPr>
              <w:lastRenderedPageBreak/>
              <w:drawing>
                <wp:inline distT="114300" distB="114300" distL="114300" distR="114300" wp14:anchorId="4B6C372B" wp14:editId="118D52E7">
                  <wp:extent cx="2405063" cy="298001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4"/>
                          <a:srcRect/>
                          <a:stretch>
                            <a:fillRect/>
                          </a:stretch>
                        </pic:blipFill>
                        <pic:spPr>
                          <a:xfrm>
                            <a:off x="0" y="0"/>
                            <a:ext cx="2405063" cy="2980010"/>
                          </a:xfrm>
                          <a:prstGeom prst="rect">
                            <a:avLst/>
                          </a:prstGeom>
                          <a:ln/>
                        </pic:spPr>
                      </pic:pic>
                    </a:graphicData>
                  </a:graphic>
                </wp:inline>
              </w:drawing>
            </w:r>
          </w:p>
          <w:p w14:paraId="37B2032A" w14:textId="77777777" w:rsidR="00C56CD1" w:rsidRDefault="00DA00BA">
            <w:pPr>
              <w:pStyle w:val="normal0"/>
              <w:rPr>
                <w:rFonts w:ascii="Muli" w:eastAsia="Muli" w:hAnsi="Muli" w:cs="Muli"/>
                <w:b/>
                <w:color w:val="FF126D"/>
                <w:sz w:val="20"/>
                <w:szCs w:val="20"/>
              </w:rPr>
            </w:pPr>
            <w:r>
              <w:rPr>
                <w:rFonts w:ascii="Muli" w:eastAsia="Muli" w:hAnsi="Muli" w:cs="Muli"/>
                <w:b/>
                <w:color w:val="FF126D"/>
                <w:sz w:val="20"/>
                <w:szCs w:val="20"/>
              </w:rPr>
              <w:t>DQ2L3 p. 118</w:t>
            </w:r>
          </w:p>
        </w:tc>
      </w:tr>
      <w:tr w:rsidR="00C56CD1" w14:paraId="50E656C3" w14:textId="77777777">
        <w:trPr>
          <w:trHeight w:val="10020"/>
        </w:trPr>
        <w:tc>
          <w:tcPr>
            <w:tcW w:w="9949" w:type="dxa"/>
            <w:tcMar>
              <w:top w:w="99" w:type="dxa"/>
              <w:left w:w="99" w:type="dxa"/>
              <w:bottom w:w="99" w:type="dxa"/>
              <w:right w:w="99" w:type="dxa"/>
            </w:tcMar>
          </w:tcPr>
          <w:p w14:paraId="2C4D7EF4" w14:textId="77777777" w:rsidR="00C56CD1" w:rsidRDefault="00DA00BA">
            <w:pPr>
              <w:pStyle w:val="normal0"/>
              <w:numPr>
                <w:ilvl w:val="0"/>
                <w:numId w:val="16"/>
              </w:numPr>
              <w:contextualSpacing/>
              <w:rPr>
                <w:rFonts w:ascii="Muli" w:eastAsia="Muli" w:hAnsi="Muli" w:cs="Muli"/>
                <w:sz w:val="20"/>
                <w:szCs w:val="20"/>
              </w:rPr>
            </w:pPr>
            <w:r>
              <w:rPr>
                <w:rFonts w:ascii="Muli" w:eastAsia="Muli" w:hAnsi="Muli" w:cs="Muli"/>
                <w:sz w:val="20"/>
                <w:szCs w:val="20"/>
              </w:rPr>
              <w:lastRenderedPageBreak/>
              <w:t>Integrated Cultural Connection sidebars offer teachers guidance to engage students of all backgrounds and abilities (</w:t>
            </w:r>
            <w:r>
              <w:rPr>
                <w:rFonts w:ascii="Muli" w:eastAsia="Muli" w:hAnsi="Muli" w:cs="Muli"/>
                <w:b/>
                <w:color w:val="FF126D"/>
                <w:sz w:val="20"/>
                <w:szCs w:val="20"/>
              </w:rPr>
              <w:t>DQ1L2 TE p. 20</w:t>
            </w:r>
            <w:r>
              <w:rPr>
                <w:rFonts w:ascii="Muli" w:eastAsia="Muli" w:hAnsi="Muli" w:cs="Muli"/>
                <w:sz w:val="20"/>
                <w:szCs w:val="20"/>
              </w:rPr>
              <w:t xml:space="preserve">, </w:t>
            </w:r>
            <w:r>
              <w:rPr>
                <w:rFonts w:ascii="Muli" w:eastAsia="Muli" w:hAnsi="Muli" w:cs="Muli"/>
                <w:b/>
                <w:color w:val="FF126D"/>
                <w:sz w:val="20"/>
                <w:szCs w:val="20"/>
              </w:rPr>
              <w:t>DQ1L6 TE p. 50</w:t>
            </w:r>
            <w:r>
              <w:rPr>
                <w:rFonts w:ascii="Muli" w:eastAsia="Muli" w:hAnsi="Muli" w:cs="Muli"/>
                <w:sz w:val="20"/>
                <w:szCs w:val="20"/>
              </w:rPr>
              <w:t>, DQ1L9 TE p. 76, DQ2L7 TE p. 149, DQ4L1 TE p. 252).</w:t>
            </w:r>
          </w:p>
        </w:tc>
        <w:tc>
          <w:tcPr>
            <w:tcW w:w="4665" w:type="dxa"/>
            <w:tcMar>
              <w:top w:w="99" w:type="dxa"/>
              <w:left w:w="99" w:type="dxa"/>
              <w:bottom w:w="99" w:type="dxa"/>
              <w:right w:w="99" w:type="dxa"/>
            </w:tcMar>
          </w:tcPr>
          <w:p w14:paraId="340C295D" w14:textId="77777777" w:rsidR="00C56CD1" w:rsidRDefault="00DA00BA">
            <w:pPr>
              <w:pStyle w:val="normal0"/>
              <w:rPr>
                <w:rFonts w:ascii="Muli" w:eastAsia="Muli" w:hAnsi="Muli" w:cs="Muli"/>
                <w:sz w:val="20"/>
                <w:szCs w:val="20"/>
              </w:rPr>
            </w:pPr>
            <w:r>
              <w:rPr>
                <w:rFonts w:ascii="Muli" w:eastAsia="Muli" w:hAnsi="Muli" w:cs="Muli"/>
                <w:noProof/>
                <w:sz w:val="20"/>
                <w:szCs w:val="20"/>
              </w:rPr>
              <w:drawing>
                <wp:inline distT="114300" distB="114300" distL="114300" distR="114300" wp14:anchorId="75B21911" wp14:editId="4C78A75F">
                  <wp:extent cx="2619375" cy="2771775"/>
                  <wp:effectExtent l="0" t="0" r="0" b="0"/>
                  <wp:docPr id="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2619375" cy="2771775"/>
                          </a:xfrm>
                          <a:prstGeom prst="rect">
                            <a:avLst/>
                          </a:prstGeom>
                          <a:ln/>
                        </pic:spPr>
                      </pic:pic>
                    </a:graphicData>
                  </a:graphic>
                </wp:inline>
              </w:drawing>
            </w:r>
          </w:p>
          <w:p w14:paraId="519B9CA4" w14:textId="77777777" w:rsidR="00C56CD1" w:rsidRDefault="00DA00BA">
            <w:pPr>
              <w:pStyle w:val="normal0"/>
              <w:rPr>
                <w:rFonts w:ascii="Muli" w:eastAsia="Muli" w:hAnsi="Muli" w:cs="Muli"/>
                <w:b/>
                <w:color w:val="FF126D"/>
                <w:sz w:val="20"/>
                <w:szCs w:val="20"/>
              </w:rPr>
            </w:pPr>
            <w:r>
              <w:rPr>
                <w:rFonts w:ascii="Muli" w:eastAsia="Muli" w:hAnsi="Muli" w:cs="Muli"/>
                <w:b/>
                <w:color w:val="FF126D"/>
                <w:sz w:val="20"/>
                <w:szCs w:val="20"/>
              </w:rPr>
              <w:t>DQ1L2 TE p. 20</w:t>
            </w:r>
          </w:p>
          <w:p w14:paraId="59D520D5" w14:textId="77777777" w:rsidR="00C56CD1" w:rsidRDefault="00C56CD1">
            <w:pPr>
              <w:pStyle w:val="normal0"/>
              <w:rPr>
                <w:rFonts w:ascii="Muli" w:eastAsia="Muli" w:hAnsi="Muli" w:cs="Muli"/>
                <w:b/>
                <w:color w:val="FF126D"/>
                <w:sz w:val="20"/>
                <w:szCs w:val="20"/>
              </w:rPr>
            </w:pPr>
          </w:p>
          <w:p w14:paraId="605982BD" w14:textId="77777777" w:rsidR="00C56CD1" w:rsidRDefault="00DA00BA">
            <w:pPr>
              <w:pStyle w:val="normal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4BB9CDA3" wp14:editId="3212D629">
                  <wp:extent cx="2528888" cy="2903538"/>
                  <wp:effectExtent l="0" t="0" r="0" b="0"/>
                  <wp:docPr id="6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5"/>
                          <a:srcRect/>
                          <a:stretch>
                            <a:fillRect/>
                          </a:stretch>
                        </pic:blipFill>
                        <pic:spPr>
                          <a:xfrm>
                            <a:off x="0" y="0"/>
                            <a:ext cx="2528888" cy="2903538"/>
                          </a:xfrm>
                          <a:prstGeom prst="rect">
                            <a:avLst/>
                          </a:prstGeom>
                          <a:ln/>
                        </pic:spPr>
                      </pic:pic>
                    </a:graphicData>
                  </a:graphic>
                </wp:inline>
              </w:drawing>
            </w:r>
          </w:p>
          <w:p w14:paraId="64F9740F" w14:textId="77777777" w:rsidR="00C56CD1" w:rsidRDefault="00DA00BA">
            <w:pPr>
              <w:pStyle w:val="normal0"/>
              <w:rPr>
                <w:rFonts w:ascii="Muli" w:eastAsia="Muli" w:hAnsi="Muli" w:cs="Muli"/>
                <w:b/>
                <w:color w:val="FF126D"/>
                <w:sz w:val="20"/>
                <w:szCs w:val="20"/>
              </w:rPr>
            </w:pPr>
            <w:r>
              <w:rPr>
                <w:rFonts w:ascii="Muli" w:eastAsia="Muli" w:hAnsi="Muli" w:cs="Muli"/>
                <w:b/>
                <w:color w:val="FF126D"/>
                <w:sz w:val="20"/>
                <w:szCs w:val="20"/>
              </w:rPr>
              <w:t>DQ1L6 TE p. 50</w:t>
            </w:r>
          </w:p>
        </w:tc>
      </w:tr>
      <w:tr w:rsidR="00C56CD1" w14:paraId="27E6C2FD" w14:textId="77777777">
        <w:trPr>
          <w:trHeight w:val="680"/>
        </w:trPr>
        <w:tc>
          <w:tcPr>
            <w:tcW w:w="9949" w:type="dxa"/>
            <w:tcMar>
              <w:top w:w="99" w:type="dxa"/>
              <w:left w:w="99" w:type="dxa"/>
              <w:bottom w:w="99" w:type="dxa"/>
              <w:right w:w="99" w:type="dxa"/>
            </w:tcMar>
          </w:tcPr>
          <w:p w14:paraId="2F9B6596" w14:textId="77777777" w:rsidR="00C56CD1" w:rsidRDefault="00DA00BA">
            <w:pPr>
              <w:pStyle w:val="normal0"/>
              <w:numPr>
                <w:ilvl w:val="0"/>
                <w:numId w:val="16"/>
              </w:numPr>
              <w:contextualSpacing/>
              <w:rPr>
                <w:rFonts w:ascii="Muli" w:eastAsia="Muli" w:hAnsi="Muli" w:cs="Muli"/>
                <w:sz w:val="20"/>
                <w:szCs w:val="20"/>
              </w:rPr>
            </w:pPr>
            <w:r>
              <w:rPr>
                <w:rFonts w:ascii="Muli" w:eastAsia="Muli" w:hAnsi="Muli" w:cs="Muli"/>
                <w:sz w:val="20"/>
                <w:szCs w:val="20"/>
              </w:rPr>
              <w:lastRenderedPageBreak/>
              <w:t xml:space="preserve">Integrated Special Needs sidebars offer teachers guidance to support students of all abilities as they participation in class activities </w:t>
            </w:r>
            <w:r>
              <w:rPr>
                <w:rFonts w:ascii="Muli" w:eastAsia="Muli" w:hAnsi="Muli" w:cs="Muli"/>
                <w:sz w:val="20"/>
                <w:szCs w:val="20"/>
              </w:rPr>
              <w:t>and grasp key concepts (</w:t>
            </w:r>
            <w:r>
              <w:rPr>
                <w:rFonts w:ascii="Muli" w:eastAsia="Muli" w:hAnsi="Muli" w:cs="Muli"/>
                <w:b/>
                <w:color w:val="FF126D"/>
                <w:sz w:val="20"/>
                <w:szCs w:val="20"/>
              </w:rPr>
              <w:t>DQ2L7 TE p. 151</w:t>
            </w:r>
            <w:r>
              <w:rPr>
                <w:rFonts w:ascii="Muli" w:eastAsia="Muli" w:hAnsi="Muli" w:cs="Muli"/>
                <w:sz w:val="20"/>
                <w:szCs w:val="20"/>
              </w:rPr>
              <w:t>, DQ2L8 TE p. 157, DQ3L1 TE p. 193, DQ3L3 TE p. 207, DQ4L4 TE p. 275).</w:t>
            </w:r>
          </w:p>
        </w:tc>
        <w:tc>
          <w:tcPr>
            <w:tcW w:w="4665" w:type="dxa"/>
            <w:tcMar>
              <w:top w:w="99" w:type="dxa"/>
              <w:left w:w="99" w:type="dxa"/>
              <w:bottom w:w="99" w:type="dxa"/>
              <w:right w:w="99" w:type="dxa"/>
            </w:tcMar>
          </w:tcPr>
          <w:p w14:paraId="7794F0CC" w14:textId="77777777" w:rsidR="00C56CD1" w:rsidRDefault="00DA00BA">
            <w:pPr>
              <w:pStyle w:val="normal0"/>
              <w:rPr>
                <w:rFonts w:ascii="Muli" w:eastAsia="Muli" w:hAnsi="Muli" w:cs="Muli"/>
                <w:b/>
                <w:color w:val="FF126D"/>
                <w:sz w:val="20"/>
                <w:szCs w:val="20"/>
              </w:rPr>
            </w:pPr>
            <w:r>
              <w:rPr>
                <w:rFonts w:ascii="Muli" w:eastAsia="Muli" w:hAnsi="Muli" w:cs="Muli"/>
                <w:noProof/>
                <w:sz w:val="20"/>
                <w:szCs w:val="20"/>
              </w:rPr>
              <w:drawing>
                <wp:inline distT="114300" distB="114300" distL="114300" distR="114300" wp14:anchorId="17AEA49C" wp14:editId="21EDB39D">
                  <wp:extent cx="2476500" cy="1524000"/>
                  <wp:effectExtent l="0" t="0" r="0" b="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6"/>
                          <a:srcRect/>
                          <a:stretch>
                            <a:fillRect/>
                          </a:stretch>
                        </pic:blipFill>
                        <pic:spPr>
                          <a:xfrm>
                            <a:off x="0" y="0"/>
                            <a:ext cx="2476500" cy="1524000"/>
                          </a:xfrm>
                          <a:prstGeom prst="rect">
                            <a:avLst/>
                          </a:prstGeom>
                          <a:ln/>
                        </pic:spPr>
                      </pic:pic>
                    </a:graphicData>
                  </a:graphic>
                </wp:inline>
              </w:drawing>
            </w:r>
            <w:r>
              <w:rPr>
                <w:rFonts w:ascii="Muli" w:eastAsia="Muli" w:hAnsi="Muli" w:cs="Muli"/>
                <w:b/>
                <w:color w:val="FF126D"/>
                <w:sz w:val="20"/>
                <w:szCs w:val="20"/>
              </w:rPr>
              <w:t>DQ2L7 TE p. 151</w:t>
            </w:r>
          </w:p>
        </w:tc>
      </w:tr>
      <w:tr w:rsidR="00C56CD1" w14:paraId="5D1FB47D" w14:textId="77777777">
        <w:trPr>
          <w:trHeight w:val="8040"/>
        </w:trPr>
        <w:tc>
          <w:tcPr>
            <w:tcW w:w="9949" w:type="dxa"/>
            <w:tcMar>
              <w:top w:w="99" w:type="dxa"/>
              <w:left w:w="99" w:type="dxa"/>
              <w:bottom w:w="99" w:type="dxa"/>
              <w:right w:w="99" w:type="dxa"/>
            </w:tcMar>
          </w:tcPr>
          <w:p w14:paraId="5AD32792" w14:textId="77777777" w:rsidR="00C56CD1" w:rsidRDefault="00DA00BA">
            <w:pPr>
              <w:pStyle w:val="normal0"/>
              <w:numPr>
                <w:ilvl w:val="0"/>
                <w:numId w:val="16"/>
              </w:numPr>
              <w:contextualSpacing/>
              <w:rPr>
                <w:rFonts w:ascii="Muli" w:eastAsia="Muli" w:hAnsi="Muli" w:cs="Muli"/>
                <w:sz w:val="20"/>
                <w:szCs w:val="20"/>
              </w:rPr>
            </w:pPr>
            <w:r>
              <w:rPr>
                <w:rFonts w:ascii="Muli" w:eastAsia="Muli" w:hAnsi="Muli" w:cs="Muli"/>
                <w:sz w:val="20"/>
                <w:szCs w:val="20"/>
              </w:rPr>
              <w:lastRenderedPageBreak/>
              <w:t>Integrated Challenges interspersed throughout the TB support GATE students who have met the learning goals (</w:t>
            </w:r>
            <w:r>
              <w:rPr>
                <w:rFonts w:ascii="Muli" w:eastAsia="Muli" w:hAnsi="Muli" w:cs="Muli"/>
                <w:b/>
                <w:color w:val="FF126D"/>
                <w:sz w:val="20"/>
                <w:szCs w:val="20"/>
              </w:rPr>
              <w:t>DQ1L3 TB p. 11</w:t>
            </w:r>
            <w:r>
              <w:rPr>
                <w:rFonts w:ascii="Muli" w:eastAsia="Muli" w:hAnsi="Muli" w:cs="Muli"/>
                <w:sz w:val="20"/>
                <w:szCs w:val="20"/>
              </w:rPr>
              <w:t xml:space="preserve">, </w:t>
            </w:r>
            <w:r>
              <w:rPr>
                <w:rFonts w:ascii="Muli" w:eastAsia="Muli" w:hAnsi="Muli" w:cs="Muli"/>
                <w:b/>
                <w:color w:val="FF126D"/>
                <w:sz w:val="20"/>
                <w:szCs w:val="20"/>
              </w:rPr>
              <w:t>DQ2L</w:t>
            </w:r>
            <w:r>
              <w:rPr>
                <w:rFonts w:ascii="Muli" w:eastAsia="Muli" w:hAnsi="Muli" w:cs="Muli"/>
                <w:b/>
                <w:color w:val="FF126D"/>
                <w:sz w:val="20"/>
                <w:szCs w:val="20"/>
              </w:rPr>
              <w:t>3 TB p. 59</w:t>
            </w:r>
            <w:r>
              <w:rPr>
                <w:rFonts w:ascii="Muli" w:eastAsia="Muli" w:hAnsi="Muli" w:cs="Muli"/>
                <w:sz w:val="20"/>
                <w:szCs w:val="20"/>
              </w:rPr>
              <w:t>, DQ2L5 TB p. 65, DQ2L7 TB p. 71, DQ3L3 TB p. 100).</w:t>
            </w:r>
          </w:p>
        </w:tc>
        <w:tc>
          <w:tcPr>
            <w:tcW w:w="4665" w:type="dxa"/>
            <w:tcMar>
              <w:top w:w="99" w:type="dxa"/>
              <w:left w:w="99" w:type="dxa"/>
              <w:bottom w:w="99" w:type="dxa"/>
              <w:right w:w="99" w:type="dxa"/>
            </w:tcMar>
          </w:tcPr>
          <w:p w14:paraId="71A1E6B3" w14:textId="77777777" w:rsidR="00C56CD1" w:rsidRDefault="00DA00BA">
            <w:pPr>
              <w:pStyle w:val="normal0"/>
              <w:rPr>
                <w:rFonts w:ascii="Muli" w:eastAsia="Muli" w:hAnsi="Muli" w:cs="Muli"/>
                <w:sz w:val="20"/>
                <w:szCs w:val="20"/>
              </w:rPr>
            </w:pPr>
            <w:r>
              <w:rPr>
                <w:rFonts w:ascii="Muli" w:eastAsia="Muli" w:hAnsi="Muli" w:cs="Muli"/>
                <w:noProof/>
                <w:sz w:val="20"/>
                <w:szCs w:val="20"/>
              </w:rPr>
              <w:drawing>
                <wp:inline distT="114300" distB="114300" distL="114300" distR="114300" wp14:anchorId="371057B1" wp14:editId="0900E9FC">
                  <wp:extent cx="2828925" cy="170180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7"/>
                          <a:srcRect/>
                          <a:stretch>
                            <a:fillRect/>
                          </a:stretch>
                        </pic:blipFill>
                        <pic:spPr>
                          <a:xfrm>
                            <a:off x="0" y="0"/>
                            <a:ext cx="2828925" cy="1701800"/>
                          </a:xfrm>
                          <a:prstGeom prst="rect">
                            <a:avLst/>
                          </a:prstGeom>
                          <a:ln/>
                        </pic:spPr>
                      </pic:pic>
                    </a:graphicData>
                  </a:graphic>
                </wp:inline>
              </w:drawing>
            </w:r>
          </w:p>
          <w:p w14:paraId="6B1C58FC" w14:textId="77777777" w:rsidR="00C56CD1" w:rsidRDefault="00DA00BA">
            <w:pPr>
              <w:pStyle w:val="normal0"/>
              <w:rPr>
                <w:rFonts w:ascii="Muli" w:eastAsia="Muli" w:hAnsi="Muli" w:cs="Muli"/>
                <w:b/>
                <w:color w:val="FF126D"/>
                <w:sz w:val="20"/>
                <w:szCs w:val="20"/>
              </w:rPr>
            </w:pPr>
            <w:r>
              <w:rPr>
                <w:rFonts w:ascii="Muli" w:eastAsia="Muli" w:hAnsi="Muli" w:cs="Muli"/>
                <w:b/>
                <w:color w:val="FF126D"/>
                <w:sz w:val="20"/>
                <w:szCs w:val="20"/>
              </w:rPr>
              <w:t>DQ1L3 TB p. 11</w:t>
            </w:r>
          </w:p>
          <w:p w14:paraId="398EB468" w14:textId="77777777" w:rsidR="00C56CD1" w:rsidRDefault="00C56CD1">
            <w:pPr>
              <w:pStyle w:val="normal0"/>
              <w:rPr>
                <w:rFonts w:ascii="Muli" w:eastAsia="Muli" w:hAnsi="Muli" w:cs="Muli"/>
                <w:b/>
                <w:color w:val="FF126D"/>
                <w:sz w:val="20"/>
                <w:szCs w:val="20"/>
              </w:rPr>
            </w:pPr>
          </w:p>
          <w:p w14:paraId="32ABD32C" w14:textId="77777777" w:rsidR="00C56CD1" w:rsidRDefault="00DA00BA">
            <w:pPr>
              <w:pStyle w:val="normal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031D235F" wp14:editId="0FE2972E">
                  <wp:extent cx="2828925" cy="2578100"/>
                  <wp:effectExtent l="0" t="0" r="0" b="0"/>
                  <wp:docPr id="1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8"/>
                          <a:srcRect/>
                          <a:stretch>
                            <a:fillRect/>
                          </a:stretch>
                        </pic:blipFill>
                        <pic:spPr>
                          <a:xfrm>
                            <a:off x="0" y="0"/>
                            <a:ext cx="2828925" cy="2578100"/>
                          </a:xfrm>
                          <a:prstGeom prst="rect">
                            <a:avLst/>
                          </a:prstGeom>
                          <a:ln/>
                        </pic:spPr>
                      </pic:pic>
                    </a:graphicData>
                  </a:graphic>
                </wp:inline>
              </w:drawing>
            </w:r>
          </w:p>
          <w:p w14:paraId="04D10D37" w14:textId="77777777" w:rsidR="00C56CD1" w:rsidRDefault="00DA00BA">
            <w:pPr>
              <w:pStyle w:val="normal0"/>
              <w:rPr>
                <w:rFonts w:ascii="Muli" w:eastAsia="Muli" w:hAnsi="Muli" w:cs="Muli"/>
                <w:b/>
                <w:color w:val="FF126D"/>
                <w:sz w:val="20"/>
                <w:szCs w:val="20"/>
              </w:rPr>
            </w:pPr>
            <w:r>
              <w:rPr>
                <w:rFonts w:ascii="Muli" w:eastAsia="Muli" w:hAnsi="Muli" w:cs="Muli"/>
                <w:b/>
                <w:color w:val="FF126D"/>
                <w:sz w:val="20"/>
                <w:szCs w:val="20"/>
              </w:rPr>
              <w:t>DQ2L3 TB p. 59</w:t>
            </w:r>
          </w:p>
          <w:p w14:paraId="62F49C5E" w14:textId="77777777" w:rsidR="00C56CD1" w:rsidRDefault="00C56CD1">
            <w:pPr>
              <w:pStyle w:val="normal0"/>
              <w:rPr>
                <w:rFonts w:ascii="Muli" w:eastAsia="Muli" w:hAnsi="Muli" w:cs="Muli"/>
                <w:b/>
                <w:color w:val="FF126D"/>
                <w:sz w:val="20"/>
                <w:szCs w:val="20"/>
              </w:rPr>
            </w:pPr>
          </w:p>
        </w:tc>
      </w:tr>
      <w:tr w:rsidR="00C56CD1" w14:paraId="3EE29039" w14:textId="77777777">
        <w:trPr>
          <w:trHeight w:val="2540"/>
        </w:trPr>
        <w:tc>
          <w:tcPr>
            <w:tcW w:w="9949" w:type="dxa"/>
            <w:tcMar>
              <w:top w:w="99" w:type="dxa"/>
              <w:left w:w="99" w:type="dxa"/>
              <w:bottom w:w="99" w:type="dxa"/>
              <w:right w:w="99" w:type="dxa"/>
            </w:tcMar>
          </w:tcPr>
          <w:p w14:paraId="245C004B" w14:textId="77777777" w:rsidR="00C56CD1" w:rsidRDefault="00C56CD1">
            <w:pPr>
              <w:pStyle w:val="normal0"/>
              <w:rPr>
                <w:rFonts w:ascii="Muli" w:eastAsia="Muli" w:hAnsi="Muli" w:cs="Muli"/>
                <w:sz w:val="20"/>
                <w:szCs w:val="20"/>
              </w:rPr>
            </w:pPr>
          </w:p>
          <w:p w14:paraId="788411C3" w14:textId="77777777" w:rsidR="00C56CD1" w:rsidRDefault="00DA00BA">
            <w:pPr>
              <w:pStyle w:val="normal0"/>
              <w:numPr>
                <w:ilvl w:val="0"/>
                <w:numId w:val="16"/>
              </w:numPr>
              <w:contextualSpacing/>
              <w:rPr>
                <w:rFonts w:ascii="Muli" w:eastAsia="Muli" w:hAnsi="Muli" w:cs="Muli"/>
                <w:sz w:val="20"/>
                <w:szCs w:val="20"/>
              </w:rPr>
            </w:pPr>
            <w:r>
              <w:rPr>
                <w:rFonts w:ascii="Muli" w:eastAsia="Muli" w:hAnsi="Muli" w:cs="Muli"/>
                <w:sz w:val="20"/>
                <w:szCs w:val="20"/>
              </w:rPr>
              <w:t xml:space="preserve">Videos like </w:t>
            </w:r>
            <w:r>
              <w:rPr>
                <w:rFonts w:ascii="Muli" w:eastAsia="Muli" w:hAnsi="Muli" w:cs="Muli"/>
                <w:b/>
                <w:color w:val="FF126D"/>
                <w:sz w:val="20"/>
                <w:szCs w:val="20"/>
              </w:rPr>
              <w:t>Courtship Rituals: Puffer Fish (DQ1L3)</w:t>
            </w:r>
            <w:r>
              <w:rPr>
                <w:rFonts w:ascii="Muli" w:eastAsia="Muli" w:hAnsi="Muli" w:cs="Muli"/>
                <w:sz w:val="20"/>
                <w:szCs w:val="20"/>
              </w:rPr>
              <w:t>, Whitebark Pine Tree (DQ1L9), Asexual Reproduction in Animals (DQ2L9), and Saving Sea Turtles</w:t>
            </w:r>
            <w:r>
              <w:rPr>
                <w:rFonts w:ascii="Muli" w:eastAsia="Muli" w:hAnsi="Muli" w:cs="Muli"/>
                <w:sz w:val="20"/>
                <w:szCs w:val="20"/>
              </w:rPr>
              <w:t xml:space="preserve"> (DQ4L3) bring phenomena and concepts to life for all students.</w:t>
            </w:r>
          </w:p>
          <w:p w14:paraId="7DAA61D8" w14:textId="77777777" w:rsidR="00C56CD1" w:rsidRDefault="00C56CD1">
            <w:pPr>
              <w:pStyle w:val="normal0"/>
              <w:ind w:right="150"/>
              <w:rPr>
                <w:rFonts w:ascii="Muli" w:eastAsia="Muli" w:hAnsi="Muli" w:cs="Muli"/>
                <w:sz w:val="20"/>
                <w:szCs w:val="20"/>
              </w:rPr>
            </w:pPr>
          </w:p>
        </w:tc>
        <w:tc>
          <w:tcPr>
            <w:tcW w:w="4665" w:type="dxa"/>
            <w:tcMar>
              <w:top w:w="99" w:type="dxa"/>
              <w:left w:w="99" w:type="dxa"/>
              <w:bottom w:w="99" w:type="dxa"/>
              <w:right w:w="99" w:type="dxa"/>
            </w:tcMar>
          </w:tcPr>
          <w:p w14:paraId="0C788CFD" w14:textId="77777777" w:rsidR="00C56CD1" w:rsidRDefault="00DA00BA">
            <w:pPr>
              <w:pStyle w:val="normal0"/>
              <w:rPr>
                <w:rFonts w:ascii="Muli" w:eastAsia="Muli" w:hAnsi="Muli" w:cs="Muli"/>
                <w:sz w:val="20"/>
                <w:szCs w:val="20"/>
              </w:rPr>
            </w:pPr>
            <w:r>
              <w:rPr>
                <w:rFonts w:ascii="Muli" w:eastAsia="Muli" w:hAnsi="Muli" w:cs="Muli"/>
                <w:noProof/>
                <w:sz w:val="20"/>
                <w:szCs w:val="20"/>
              </w:rPr>
              <w:drawing>
                <wp:inline distT="114300" distB="114300" distL="114300" distR="114300" wp14:anchorId="02CE84E0" wp14:editId="47CC4297">
                  <wp:extent cx="2500313" cy="2012036"/>
                  <wp:effectExtent l="0" t="0" r="0" b="0"/>
                  <wp:docPr id="5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3"/>
                          <a:srcRect/>
                          <a:stretch>
                            <a:fillRect/>
                          </a:stretch>
                        </pic:blipFill>
                        <pic:spPr>
                          <a:xfrm>
                            <a:off x="0" y="0"/>
                            <a:ext cx="2500313" cy="2012036"/>
                          </a:xfrm>
                          <a:prstGeom prst="rect">
                            <a:avLst/>
                          </a:prstGeom>
                          <a:ln/>
                        </pic:spPr>
                      </pic:pic>
                    </a:graphicData>
                  </a:graphic>
                </wp:inline>
              </w:drawing>
            </w:r>
          </w:p>
          <w:p w14:paraId="07C58095" w14:textId="77777777" w:rsidR="00C56CD1" w:rsidRDefault="00DA00BA">
            <w:pPr>
              <w:pStyle w:val="normal0"/>
              <w:ind w:left="90"/>
              <w:rPr>
                <w:rFonts w:ascii="Muli" w:eastAsia="Muli" w:hAnsi="Muli" w:cs="Muli"/>
                <w:sz w:val="20"/>
                <w:szCs w:val="20"/>
              </w:rPr>
            </w:pPr>
            <w:r>
              <w:rPr>
                <w:rFonts w:ascii="Muli" w:eastAsia="Muli" w:hAnsi="Muli" w:cs="Muli"/>
                <w:b/>
                <w:color w:val="FF126D"/>
                <w:sz w:val="20"/>
                <w:szCs w:val="20"/>
              </w:rPr>
              <w:t>Courtship Rituals: Puffer Fish (DQ1L3)</w:t>
            </w:r>
          </w:p>
        </w:tc>
      </w:tr>
      <w:tr w:rsidR="00C56CD1" w14:paraId="7CF361BD" w14:textId="77777777">
        <w:trPr>
          <w:trHeight w:val="1080"/>
        </w:trPr>
        <w:tc>
          <w:tcPr>
            <w:tcW w:w="9949" w:type="dxa"/>
            <w:tcMar>
              <w:top w:w="99" w:type="dxa"/>
              <w:left w:w="99" w:type="dxa"/>
              <w:bottom w:w="99" w:type="dxa"/>
              <w:right w:w="99" w:type="dxa"/>
            </w:tcMar>
          </w:tcPr>
          <w:p w14:paraId="14C3A81C" w14:textId="77777777" w:rsidR="00C56CD1" w:rsidRDefault="00DA00BA">
            <w:pPr>
              <w:pStyle w:val="normal0"/>
              <w:numPr>
                <w:ilvl w:val="0"/>
                <w:numId w:val="16"/>
              </w:numPr>
              <w:ind w:right="150"/>
              <w:contextualSpacing/>
              <w:rPr>
                <w:rFonts w:ascii="Muli" w:eastAsia="Muli" w:hAnsi="Muli" w:cs="Muli"/>
                <w:sz w:val="20"/>
                <w:szCs w:val="20"/>
              </w:rPr>
            </w:pPr>
            <w:r>
              <w:rPr>
                <w:rFonts w:ascii="Muli" w:eastAsia="Muli" w:hAnsi="Muli" w:cs="Muli"/>
                <w:sz w:val="20"/>
                <w:szCs w:val="20"/>
              </w:rPr>
              <w:t>Assessments of the three dimensions are multimodal and include multiple choice, writing, drawing, physical models, and oral presentations, allowing all students to access a range of assessment types to suit their learning style and/or reading level.</w:t>
            </w:r>
          </w:p>
          <w:p w14:paraId="31150600" w14:textId="77777777" w:rsidR="00C56CD1" w:rsidRDefault="00DA00BA">
            <w:pPr>
              <w:pStyle w:val="normal0"/>
              <w:numPr>
                <w:ilvl w:val="0"/>
                <w:numId w:val="16"/>
              </w:numPr>
              <w:ind w:right="150"/>
              <w:contextualSpacing/>
              <w:rPr>
                <w:rFonts w:ascii="Muli" w:eastAsia="Muli" w:hAnsi="Muli" w:cs="Muli"/>
                <w:sz w:val="20"/>
                <w:szCs w:val="20"/>
              </w:rPr>
            </w:pPr>
            <w:r>
              <w:rPr>
                <w:rFonts w:ascii="Muli" w:eastAsia="Muli" w:hAnsi="Muli" w:cs="Muli"/>
                <w:sz w:val="20"/>
                <w:szCs w:val="20"/>
              </w:rPr>
              <w:t>The di</w:t>
            </w:r>
            <w:r>
              <w:rPr>
                <w:rFonts w:ascii="Muli" w:eastAsia="Muli" w:hAnsi="Muli" w:cs="Muli"/>
                <w:sz w:val="20"/>
                <w:szCs w:val="20"/>
              </w:rPr>
              <w:t>gital Twig Book and digital assessment items (Benchmark, Multiple Choice, Rubrics) have a text to speech function allowing students of all reading levels to access the assessments.</w:t>
            </w:r>
          </w:p>
          <w:p w14:paraId="0E9400F3" w14:textId="77777777" w:rsidR="00C56CD1" w:rsidRDefault="00DA00BA">
            <w:pPr>
              <w:pStyle w:val="normal0"/>
              <w:numPr>
                <w:ilvl w:val="0"/>
                <w:numId w:val="16"/>
              </w:numPr>
              <w:ind w:right="150"/>
              <w:contextualSpacing/>
              <w:rPr>
                <w:rFonts w:ascii="Muli" w:eastAsia="Muli" w:hAnsi="Muli" w:cs="Muli"/>
                <w:sz w:val="20"/>
                <w:szCs w:val="20"/>
              </w:rPr>
            </w:pPr>
            <w:r>
              <w:rPr>
                <w:rFonts w:ascii="Muli" w:eastAsia="Muli" w:hAnsi="Muli" w:cs="Muli"/>
                <w:sz w:val="20"/>
                <w:szCs w:val="20"/>
              </w:rPr>
              <w:t>The rubrics for the Performance Tasks (</w:t>
            </w:r>
            <w:r>
              <w:rPr>
                <w:rFonts w:ascii="Muli" w:eastAsia="Muli" w:hAnsi="Muli" w:cs="Muli"/>
                <w:b/>
                <w:color w:val="FF126D"/>
                <w:sz w:val="20"/>
                <w:szCs w:val="20"/>
              </w:rPr>
              <w:t>DQ1L10 TE pp. 80–86</w:t>
            </w:r>
            <w:r>
              <w:rPr>
                <w:rFonts w:ascii="Muli" w:eastAsia="Muli" w:hAnsi="Muli" w:cs="Muli"/>
                <w:sz w:val="20"/>
                <w:szCs w:val="20"/>
              </w:rPr>
              <w:t>, DQ2L10 TE pp. 1</w:t>
            </w:r>
            <w:r>
              <w:rPr>
                <w:rFonts w:ascii="Muli" w:eastAsia="Muli" w:hAnsi="Muli" w:cs="Muli"/>
                <w:sz w:val="20"/>
                <w:szCs w:val="20"/>
              </w:rPr>
              <w:t>70–175, DQ4L3–5 TE pp. 266–280) and Benchmark Assessment (</w:t>
            </w:r>
            <w:r>
              <w:rPr>
                <w:rFonts w:ascii="Muli" w:eastAsia="Muli" w:hAnsi="Muli" w:cs="Muli"/>
                <w:b/>
                <w:color w:val="FF126D"/>
                <w:sz w:val="20"/>
                <w:szCs w:val="20"/>
              </w:rPr>
              <w:t>DQ3 TE pp. 236–243</w:t>
            </w:r>
            <w:r>
              <w:rPr>
                <w:rFonts w:ascii="Muli" w:eastAsia="Muli" w:hAnsi="Muli" w:cs="Muli"/>
                <w:sz w:val="20"/>
                <w:szCs w:val="20"/>
              </w:rPr>
              <w:t xml:space="preserve"> and online) have four levels—emerging, developing, proficient, and advanced—allowing all students to demonstrate their current level of attainment. </w:t>
            </w:r>
          </w:p>
        </w:tc>
        <w:tc>
          <w:tcPr>
            <w:tcW w:w="4665" w:type="dxa"/>
            <w:tcMar>
              <w:top w:w="99" w:type="dxa"/>
              <w:left w:w="99" w:type="dxa"/>
              <w:bottom w:w="99" w:type="dxa"/>
              <w:right w:w="99" w:type="dxa"/>
            </w:tcMar>
          </w:tcPr>
          <w:p w14:paraId="5EF520AC" w14:textId="77777777" w:rsidR="00C56CD1" w:rsidRDefault="00DA00BA">
            <w:pPr>
              <w:pStyle w:val="normal0"/>
              <w:ind w:left="90"/>
              <w:rPr>
                <w:rFonts w:ascii="Muli" w:eastAsia="Muli" w:hAnsi="Muli" w:cs="Muli"/>
                <w:sz w:val="20"/>
                <w:szCs w:val="20"/>
              </w:rPr>
            </w:pPr>
            <w:r>
              <w:rPr>
                <w:rFonts w:ascii="Muli" w:eastAsia="Muli" w:hAnsi="Muli" w:cs="Muli"/>
                <w:b/>
                <w:noProof/>
                <w:sz w:val="20"/>
                <w:szCs w:val="20"/>
              </w:rPr>
              <w:drawing>
                <wp:inline distT="114300" distB="114300" distL="114300" distR="114300" wp14:anchorId="02238410" wp14:editId="278DFED4">
                  <wp:extent cx="2347913" cy="2798780"/>
                  <wp:effectExtent l="12700" t="12700" r="12700" b="12700"/>
                  <wp:docPr id="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3"/>
                          <a:srcRect/>
                          <a:stretch>
                            <a:fillRect/>
                          </a:stretch>
                        </pic:blipFill>
                        <pic:spPr>
                          <a:xfrm>
                            <a:off x="0" y="0"/>
                            <a:ext cx="2347913" cy="2798780"/>
                          </a:xfrm>
                          <a:prstGeom prst="rect">
                            <a:avLst/>
                          </a:prstGeom>
                          <a:ln w="12700">
                            <a:solidFill>
                              <a:srgbClr val="B7B7B7"/>
                            </a:solidFill>
                            <a:prstDash val="solid"/>
                          </a:ln>
                        </pic:spPr>
                      </pic:pic>
                    </a:graphicData>
                  </a:graphic>
                </wp:inline>
              </w:drawing>
            </w:r>
          </w:p>
        </w:tc>
      </w:tr>
      <w:tr w:rsidR="00C56CD1" w14:paraId="09E46E09" w14:textId="77777777">
        <w:trPr>
          <w:trHeight w:val="1080"/>
        </w:trPr>
        <w:tc>
          <w:tcPr>
            <w:tcW w:w="9949" w:type="dxa"/>
            <w:tcMar>
              <w:top w:w="99" w:type="dxa"/>
              <w:left w:w="99" w:type="dxa"/>
              <w:bottom w:w="99" w:type="dxa"/>
              <w:right w:w="99" w:type="dxa"/>
            </w:tcMar>
          </w:tcPr>
          <w:p w14:paraId="1FF98826" w14:textId="77777777" w:rsidR="00C56CD1" w:rsidRDefault="00DA00BA">
            <w:pPr>
              <w:pStyle w:val="normal0"/>
              <w:numPr>
                <w:ilvl w:val="0"/>
                <w:numId w:val="16"/>
              </w:numPr>
              <w:ind w:right="150"/>
              <w:contextualSpacing/>
              <w:rPr>
                <w:rFonts w:ascii="Muli" w:eastAsia="Muli" w:hAnsi="Muli" w:cs="Muli"/>
                <w:sz w:val="20"/>
                <w:szCs w:val="20"/>
              </w:rPr>
            </w:pPr>
            <w:r>
              <w:rPr>
                <w:rFonts w:ascii="Muli" w:eastAsia="Muli" w:hAnsi="Muli" w:cs="Muli"/>
                <w:sz w:val="20"/>
                <w:szCs w:val="20"/>
              </w:rPr>
              <w:lastRenderedPageBreak/>
              <w:t xml:space="preserve">The </w:t>
            </w:r>
            <w:r>
              <w:rPr>
                <w:rFonts w:ascii="Muli" w:eastAsia="Muli" w:hAnsi="Muli" w:cs="Muli"/>
                <w:b/>
                <w:color w:val="FF126D"/>
                <w:sz w:val="20"/>
                <w:szCs w:val="20"/>
              </w:rPr>
              <w:t>Multiple Choice Assessm</w:t>
            </w:r>
            <w:r>
              <w:rPr>
                <w:rFonts w:ascii="Muli" w:eastAsia="Muli" w:hAnsi="Muli" w:cs="Muli"/>
                <w:b/>
                <w:color w:val="FF126D"/>
                <w:sz w:val="20"/>
                <w:szCs w:val="20"/>
              </w:rPr>
              <w:t>ent (DQ4)</w:t>
            </w:r>
            <w:r>
              <w:rPr>
                <w:rFonts w:ascii="Muli" w:eastAsia="Muli" w:hAnsi="Muli" w:cs="Muli"/>
                <w:sz w:val="20"/>
                <w:szCs w:val="20"/>
              </w:rPr>
              <w:t xml:space="preserve"> contains questions targeting different DOK levels, with an extended section available to further challenge GATE students. </w:t>
            </w:r>
          </w:p>
        </w:tc>
        <w:tc>
          <w:tcPr>
            <w:tcW w:w="4665" w:type="dxa"/>
            <w:tcMar>
              <w:top w:w="99" w:type="dxa"/>
              <w:left w:w="99" w:type="dxa"/>
              <w:bottom w:w="99" w:type="dxa"/>
              <w:right w:w="99" w:type="dxa"/>
            </w:tcMar>
          </w:tcPr>
          <w:p w14:paraId="42E8D047" w14:textId="77777777" w:rsidR="00C56CD1" w:rsidRDefault="00DA00BA">
            <w:pPr>
              <w:pStyle w:val="normal0"/>
              <w:rPr>
                <w:rFonts w:ascii="Muli" w:eastAsia="Muli" w:hAnsi="Muli" w:cs="Muli"/>
                <w:b/>
                <w:sz w:val="20"/>
                <w:szCs w:val="20"/>
              </w:rPr>
            </w:pPr>
            <w:r>
              <w:rPr>
                <w:rFonts w:ascii="Muli" w:eastAsia="Muli" w:hAnsi="Muli" w:cs="Muli"/>
                <w:b/>
                <w:noProof/>
                <w:sz w:val="20"/>
                <w:szCs w:val="20"/>
              </w:rPr>
              <w:drawing>
                <wp:inline distT="114300" distB="114300" distL="114300" distR="114300" wp14:anchorId="0D75DA85" wp14:editId="7D4CE014">
                  <wp:extent cx="2357438" cy="2212233"/>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1"/>
                          <a:srcRect/>
                          <a:stretch>
                            <a:fillRect/>
                          </a:stretch>
                        </pic:blipFill>
                        <pic:spPr>
                          <a:xfrm>
                            <a:off x="0" y="0"/>
                            <a:ext cx="2357438" cy="2212233"/>
                          </a:xfrm>
                          <a:prstGeom prst="rect">
                            <a:avLst/>
                          </a:prstGeom>
                          <a:ln/>
                        </pic:spPr>
                      </pic:pic>
                    </a:graphicData>
                  </a:graphic>
                </wp:inline>
              </w:drawing>
            </w:r>
          </w:p>
          <w:p w14:paraId="788B0FA7" w14:textId="77777777" w:rsidR="00C56CD1" w:rsidRDefault="00DA00BA">
            <w:pPr>
              <w:pStyle w:val="normal0"/>
              <w:ind w:left="720" w:right="90"/>
              <w:rPr>
                <w:rFonts w:ascii="Muli" w:eastAsia="Muli" w:hAnsi="Muli" w:cs="Muli"/>
                <w:sz w:val="20"/>
                <w:szCs w:val="20"/>
              </w:rPr>
            </w:pPr>
            <w:r>
              <w:rPr>
                <w:rFonts w:ascii="Muli" w:eastAsia="Muli" w:hAnsi="Muli" w:cs="Muli"/>
                <w:b/>
                <w:color w:val="FF126D"/>
                <w:sz w:val="20"/>
                <w:szCs w:val="20"/>
              </w:rPr>
              <w:t>Multiple choice (DQ4 digital)</w:t>
            </w:r>
          </w:p>
        </w:tc>
      </w:tr>
      <w:tr w:rsidR="00C56CD1" w14:paraId="1E5295BE" w14:textId="77777777">
        <w:trPr>
          <w:trHeight w:val="1080"/>
        </w:trPr>
        <w:tc>
          <w:tcPr>
            <w:tcW w:w="9949" w:type="dxa"/>
            <w:tcMar>
              <w:top w:w="99" w:type="dxa"/>
              <w:left w:w="99" w:type="dxa"/>
              <w:bottom w:w="99" w:type="dxa"/>
              <w:right w:w="99" w:type="dxa"/>
            </w:tcMar>
          </w:tcPr>
          <w:p w14:paraId="1B5E0632" w14:textId="77777777" w:rsidR="00C56CD1" w:rsidRDefault="00DA00BA">
            <w:pPr>
              <w:pStyle w:val="normal0"/>
              <w:numPr>
                <w:ilvl w:val="0"/>
                <w:numId w:val="16"/>
              </w:numPr>
              <w:ind w:right="150"/>
              <w:contextualSpacing/>
              <w:rPr>
                <w:rFonts w:ascii="Muli" w:eastAsia="Muli" w:hAnsi="Muli" w:cs="Muli"/>
                <w:sz w:val="20"/>
                <w:szCs w:val="20"/>
              </w:rPr>
            </w:pPr>
            <w:r>
              <w:rPr>
                <w:rFonts w:ascii="Muli" w:eastAsia="Muli" w:hAnsi="Muli" w:cs="Muli"/>
                <w:sz w:val="20"/>
                <w:szCs w:val="20"/>
              </w:rPr>
              <w:t>Writing, Reading, Listening, and Speaking domain tasks dedicated to assessing science-relevant English language development are integrated into the core instructional resources (</w:t>
            </w:r>
            <w:r>
              <w:rPr>
                <w:rFonts w:ascii="Muli" w:eastAsia="Muli" w:hAnsi="Muli" w:cs="Muli"/>
                <w:b/>
                <w:color w:val="FF126D"/>
                <w:sz w:val="20"/>
                <w:szCs w:val="20"/>
              </w:rPr>
              <w:t>DQ1L7 TE p. 63</w:t>
            </w:r>
            <w:r>
              <w:rPr>
                <w:rFonts w:ascii="Muli" w:eastAsia="Muli" w:hAnsi="Muli" w:cs="Muli"/>
                <w:sz w:val="20"/>
                <w:szCs w:val="20"/>
              </w:rPr>
              <w:t>, DQ3L3 TE p. 209) and the On-Level reader lessons (</w:t>
            </w:r>
            <w:r>
              <w:rPr>
                <w:rFonts w:ascii="Muli" w:eastAsia="Muli" w:hAnsi="Muli" w:cs="Muli"/>
                <w:b/>
                <w:color w:val="FF126D"/>
                <w:sz w:val="20"/>
                <w:szCs w:val="20"/>
              </w:rPr>
              <w:t>Chapter 3 Se</w:t>
            </w:r>
            <w:r>
              <w:rPr>
                <w:rFonts w:ascii="Muli" w:eastAsia="Muli" w:hAnsi="Muli" w:cs="Muli"/>
                <w:b/>
                <w:color w:val="FF126D"/>
                <w:sz w:val="20"/>
                <w:szCs w:val="20"/>
              </w:rPr>
              <w:t>cond Read TE p. 299</w:t>
            </w:r>
            <w:r>
              <w:rPr>
                <w:rFonts w:ascii="Muli" w:eastAsia="Muli" w:hAnsi="Muli" w:cs="Muli"/>
                <w:sz w:val="20"/>
                <w:szCs w:val="20"/>
              </w:rPr>
              <w:t xml:space="preserve">). </w:t>
            </w:r>
          </w:p>
        </w:tc>
        <w:tc>
          <w:tcPr>
            <w:tcW w:w="4665" w:type="dxa"/>
            <w:tcMar>
              <w:top w:w="99" w:type="dxa"/>
              <w:left w:w="99" w:type="dxa"/>
              <w:bottom w:w="99" w:type="dxa"/>
              <w:right w:w="99" w:type="dxa"/>
            </w:tcMar>
          </w:tcPr>
          <w:p w14:paraId="0120651D" w14:textId="77777777" w:rsidR="00C56CD1" w:rsidRDefault="00DA00BA">
            <w:pPr>
              <w:pStyle w:val="normal0"/>
              <w:ind w:right="150"/>
              <w:rPr>
                <w:rFonts w:ascii="Muli" w:eastAsia="Muli" w:hAnsi="Muli" w:cs="Muli"/>
                <w:b/>
                <w:sz w:val="20"/>
                <w:szCs w:val="20"/>
              </w:rPr>
            </w:pPr>
            <w:r>
              <w:rPr>
                <w:rFonts w:ascii="Muli" w:eastAsia="Muli" w:hAnsi="Muli" w:cs="Muli"/>
                <w:b/>
                <w:noProof/>
                <w:sz w:val="20"/>
                <w:szCs w:val="20"/>
              </w:rPr>
              <w:drawing>
                <wp:inline distT="114300" distB="114300" distL="114300" distR="114300" wp14:anchorId="093D4F36" wp14:editId="10148C7B">
                  <wp:extent cx="2490788" cy="2608107"/>
                  <wp:effectExtent l="12700" t="12700" r="12700" b="1270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5"/>
                          <a:srcRect/>
                          <a:stretch>
                            <a:fillRect/>
                          </a:stretch>
                        </pic:blipFill>
                        <pic:spPr>
                          <a:xfrm>
                            <a:off x="0" y="0"/>
                            <a:ext cx="2490788" cy="2608107"/>
                          </a:xfrm>
                          <a:prstGeom prst="rect">
                            <a:avLst/>
                          </a:prstGeom>
                          <a:ln w="12700">
                            <a:solidFill>
                              <a:srgbClr val="D9D9D9"/>
                            </a:solidFill>
                            <a:prstDash val="solid"/>
                          </a:ln>
                        </pic:spPr>
                      </pic:pic>
                    </a:graphicData>
                  </a:graphic>
                </wp:inline>
              </w:drawing>
            </w:r>
          </w:p>
          <w:p w14:paraId="52D3BECF" w14:textId="77777777" w:rsidR="00C56CD1" w:rsidRDefault="00DA00BA">
            <w:pPr>
              <w:pStyle w:val="normal0"/>
              <w:ind w:right="150"/>
              <w:rPr>
                <w:rFonts w:ascii="Muli" w:eastAsia="Muli" w:hAnsi="Muli" w:cs="Muli"/>
                <w:b/>
                <w:color w:val="FF126D"/>
                <w:sz w:val="20"/>
                <w:szCs w:val="20"/>
              </w:rPr>
            </w:pPr>
            <w:r>
              <w:rPr>
                <w:rFonts w:ascii="Muli" w:eastAsia="Muli" w:hAnsi="Muli" w:cs="Muli"/>
                <w:b/>
                <w:color w:val="FF126D"/>
                <w:sz w:val="20"/>
                <w:szCs w:val="20"/>
              </w:rPr>
              <w:t>DQ1L7 TE p. 63</w:t>
            </w:r>
          </w:p>
          <w:p w14:paraId="204BEAA9" w14:textId="77777777" w:rsidR="00C56CD1" w:rsidRDefault="00DA00BA">
            <w:pPr>
              <w:pStyle w:val="normal0"/>
              <w:ind w:right="150"/>
              <w:rPr>
                <w:rFonts w:ascii="Muli" w:eastAsia="Muli" w:hAnsi="Muli" w:cs="Muli"/>
                <w:b/>
                <w:color w:val="FF126D"/>
                <w:sz w:val="20"/>
                <w:szCs w:val="20"/>
              </w:rPr>
            </w:pPr>
            <w:r>
              <w:rPr>
                <w:rFonts w:ascii="Muli" w:eastAsia="Muli" w:hAnsi="Muli" w:cs="Muli"/>
                <w:b/>
                <w:noProof/>
                <w:color w:val="FF126D"/>
                <w:sz w:val="20"/>
                <w:szCs w:val="20"/>
              </w:rPr>
              <w:lastRenderedPageBreak/>
              <w:drawing>
                <wp:inline distT="114300" distB="114300" distL="114300" distR="114300" wp14:anchorId="7F5E178E" wp14:editId="57BAB0B9">
                  <wp:extent cx="2581275" cy="3038475"/>
                  <wp:effectExtent l="12700" t="12700" r="12700" b="12700"/>
                  <wp:docPr id="2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6"/>
                          <a:srcRect r="1811"/>
                          <a:stretch>
                            <a:fillRect/>
                          </a:stretch>
                        </pic:blipFill>
                        <pic:spPr>
                          <a:xfrm>
                            <a:off x="0" y="0"/>
                            <a:ext cx="2581275" cy="3038475"/>
                          </a:xfrm>
                          <a:prstGeom prst="rect">
                            <a:avLst/>
                          </a:prstGeom>
                          <a:ln w="12700">
                            <a:solidFill>
                              <a:srgbClr val="CCCCCC"/>
                            </a:solidFill>
                            <a:prstDash val="solid"/>
                          </a:ln>
                        </pic:spPr>
                      </pic:pic>
                    </a:graphicData>
                  </a:graphic>
                </wp:inline>
              </w:drawing>
            </w:r>
          </w:p>
          <w:p w14:paraId="1B762412" w14:textId="77777777" w:rsidR="00C56CD1" w:rsidRDefault="00DA00BA">
            <w:pPr>
              <w:pStyle w:val="normal0"/>
              <w:ind w:right="150"/>
              <w:rPr>
                <w:rFonts w:ascii="Muli" w:eastAsia="Muli" w:hAnsi="Muli" w:cs="Muli"/>
                <w:sz w:val="20"/>
                <w:szCs w:val="20"/>
              </w:rPr>
            </w:pPr>
            <w:r>
              <w:rPr>
                <w:rFonts w:ascii="Muli" w:eastAsia="Muli" w:hAnsi="Muli" w:cs="Muli"/>
                <w:b/>
                <w:color w:val="FF126D"/>
                <w:sz w:val="20"/>
                <w:szCs w:val="20"/>
              </w:rPr>
              <w:t>Chapter 3 Second Read TE p. 299</w:t>
            </w:r>
          </w:p>
        </w:tc>
      </w:tr>
      <w:tr w:rsidR="00C56CD1" w14:paraId="076C5990" w14:textId="77777777">
        <w:trPr>
          <w:trHeight w:val="360"/>
        </w:trPr>
        <w:tc>
          <w:tcPr>
            <w:tcW w:w="14614" w:type="dxa"/>
            <w:gridSpan w:val="2"/>
            <w:shd w:val="clear" w:color="auto" w:fill="CCCCCC"/>
          </w:tcPr>
          <w:p w14:paraId="61474D46" w14:textId="77777777" w:rsidR="00C56CD1" w:rsidRDefault="00DA00BA">
            <w:pPr>
              <w:pStyle w:val="normal0"/>
              <w:spacing w:before="44" w:line="242" w:lineRule="auto"/>
              <w:ind w:left="90"/>
              <w:rPr>
                <w:rFonts w:ascii="Muli" w:eastAsia="Muli" w:hAnsi="Muli" w:cs="Muli"/>
                <w:b/>
                <w:sz w:val="20"/>
                <w:szCs w:val="20"/>
              </w:rPr>
            </w:pPr>
            <w:r>
              <w:rPr>
                <w:rFonts w:ascii="Muli" w:eastAsia="Muli" w:hAnsi="Muli" w:cs="Muli"/>
                <w:b/>
                <w:sz w:val="20"/>
                <w:szCs w:val="20"/>
              </w:rPr>
              <w:lastRenderedPageBreak/>
              <w:t>TS5. Support to Monitor Student Progress.</w:t>
            </w:r>
          </w:p>
        </w:tc>
      </w:tr>
      <w:tr w:rsidR="00C56CD1" w14:paraId="17D68E18" w14:textId="77777777">
        <w:trPr>
          <w:trHeight w:val="760"/>
        </w:trPr>
        <w:tc>
          <w:tcPr>
            <w:tcW w:w="14614" w:type="dxa"/>
            <w:gridSpan w:val="2"/>
            <w:shd w:val="clear" w:color="auto" w:fill="F3F3F3"/>
            <w:tcMar>
              <w:top w:w="99" w:type="dxa"/>
              <w:left w:w="99" w:type="dxa"/>
              <w:bottom w:w="99" w:type="dxa"/>
              <w:right w:w="99" w:type="dxa"/>
            </w:tcMar>
          </w:tcPr>
          <w:p w14:paraId="62B4A8B3" w14:textId="77777777" w:rsidR="00C56CD1" w:rsidRDefault="00DA00BA">
            <w:pPr>
              <w:pStyle w:val="normal0"/>
              <w:spacing w:before="42"/>
              <w:ind w:left="90"/>
              <w:rPr>
                <w:rFonts w:ascii="Muli" w:eastAsia="Muli" w:hAnsi="Muli" w:cs="Muli"/>
                <w:b/>
                <w:color w:val="2F5496"/>
                <w:sz w:val="20"/>
                <w:szCs w:val="20"/>
              </w:rPr>
            </w:pPr>
            <w:r>
              <w:rPr>
                <w:rFonts w:ascii="Muli" w:eastAsia="Muli" w:hAnsi="Muli" w:cs="Muli"/>
                <w:b/>
                <w:color w:val="2F5496"/>
                <w:sz w:val="20"/>
                <w:szCs w:val="20"/>
              </w:rPr>
              <w:t>The Module materials are High Quality 5 in regards to TS5.</w:t>
            </w:r>
          </w:p>
          <w:p w14:paraId="47B8CE7E" w14:textId="77777777" w:rsidR="00C56CD1" w:rsidRDefault="00DA00BA">
            <w:pPr>
              <w:pStyle w:val="normal0"/>
              <w:spacing w:before="42"/>
              <w:ind w:left="90"/>
              <w:rPr>
                <w:rFonts w:ascii="Muli" w:eastAsia="Muli" w:hAnsi="Muli" w:cs="Muli"/>
                <w:b/>
                <w:sz w:val="20"/>
                <w:szCs w:val="20"/>
              </w:rPr>
            </w:pPr>
            <w:r>
              <w:rPr>
                <w:rFonts w:ascii="Muli" w:eastAsia="Muli" w:hAnsi="Muli" w:cs="Muli"/>
                <w:sz w:val="20"/>
                <w:szCs w:val="20"/>
              </w:rPr>
              <w:t>They provide strong support for teachers to monitor student learning and progress over time, and make decisions about instruction and provide feedback.</w:t>
            </w:r>
          </w:p>
        </w:tc>
      </w:tr>
      <w:tr w:rsidR="00C56CD1" w14:paraId="57E91EA3" w14:textId="77777777">
        <w:trPr>
          <w:trHeight w:val="1960"/>
        </w:trPr>
        <w:tc>
          <w:tcPr>
            <w:tcW w:w="9949" w:type="dxa"/>
            <w:tcMar>
              <w:top w:w="99" w:type="dxa"/>
              <w:left w:w="99" w:type="dxa"/>
              <w:bottom w:w="99" w:type="dxa"/>
              <w:right w:w="99" w:type="dxa"/>
            </w:tcMar>
          </w:tcPr>
          <w:p w14:paraId="1D15EBCA" w14:textId="77777777" w:rsidR="00C56CD1" w:rsidRDefault="00DA00BA">
            <w:pPr>
              <w:pStyle w:val="normal0"/>
              <w:spacing w:before="42"/>
              <w:ind w:left="90"/>
              <w:rPr>
                <w:rFonts w:ascii="Muli" w:eastAsia="Muli" w:hAnsi="Muli" w:cs="Muli"/>
                <w:b/>
                <w:color w:val="FF126D"/>
                <w:sz w:val="20"/>
                <w:szCs w:val="20"/>
              </w:rPr>
            </w:pPr>
            <w:r>
              <w:rPr>
                <w:rFonts w:ascii="Muli" w:eastAsia="Muli" w:hAnsi="Muli" w:cs="Muli"/>
                <w:b/>
                <w:color w:val="FF126D"/>
                <w:sz w:val="20"/>
                <w:szCs w:val="20"/>
              </w:rPr>
              <w:t>Evidence</w:t>
            </w:r>
          </w:p>
          <w:p w14:paraId="6D035948" w14:textId="77777777" w:rsidR="00C56CD1" w:rsidRDefault="00DA00BA">
            <w:pPr>
              <w:pStyle w:val="normal0"/>
              <w:numPr>
                <w:ilvl w:val="0"/>
                <w:numId w:val="9"/>
              </w:numPr>
              <w:contextualSpacing/>
              <w:rPr>
                <w:rFonts w:ascii="Muli" w:eastAsia="Muli" w:hAnsi="Muli" w:cs="Muli"/>
                <w:sz w:val="20"/>
                <w:szCs w:val="20"/>
              </w:rPr>
            </w:pPr>
            <w:r>
              <w:rPr>
                <w:rFonts w:ascii="Muli" w:eastAsia="Muli" w:hAnsi="Muli" w:cs="Muli"/>
                <w:sz w:val="20"/>
                <w:szCs w:val="20"/>
              </w:rPr>
              <w:t>There are three diagnostic pre-assessments (Pre-Explorations) at strategic points in the modul</w:t>
            </w:r>
            <w:r>
              <w:rPr>
                <w:rFonts w:ascii="Muli" w:eastAsia="Muli" w:hAnsi="Muli" w:cs="Muli"/>
                <w:sz w:val="20"/>
                <w:szCs w:val="20"/>
              </w:rPr>
              <w:t>e that assess prior knowledge and misconceptions (</w:t>
            </w:r>
            <w:r>
              <w:rPr>
                <w:rFonts w:ascii="Muli" w:eastAsia="Muli" w:hAnsi="Muli" w:cs="Muli"/>
                <w:b/>
                <w:color w:val="FF126D"/>
                <w:sz w:val="20"/>
                <w:szCs w:val="20"/>
              </w:rPr>
              <w:t>DQ1L1 TB p. 4</w:t>
            </w:r>
            <w:r>
              <w:rPr>
                <w:rFonts w:ascii="Muli" w:eastAsia="Muli" w:hAnsi="Muli" w:cs="Muli"/>
                <w:sz w:val="20"/>
                <w:szCs w:val="20"/>
              </w:rPr>
              <w:t>,</w:t>
            </w:r>
            <w:r>
              <w:rPr>
                <w:rFonts w:ascii="Muli" w:eastAsia="Muli" w:hAnsi="Muli" w:cs="Muli"/>
                <w:color w:val="0000FF"/>
                <w:sz w:val="20"/>
                <w:szCs w:val="20"/>
              </w:rPr>
              <w:t xml:space="preserve"> </w:t>
            </w:r>
            <w:r>
              <w:rPr>
                <w:rFonts w:ascii="Muli" w:eastAsia="Muli" w:hAnsi="Muli" w:cs="Muli"/>
                <w:b/>
                <w:color w:val="FF126D"/>
                <w:sz w:val="20"/>
                <w:szCs w:val="20"/>
              </w:rPr>
              <w:t>DQ2L1 TB p. 54</w:t>
            </w:r>
            <w:r>
              <w:rPr>
                <w:rFonts w:ascii="Muli" w:eastAsia="Muli" w:hAnsi="Muli" w:cs="Muli"/>
                <w:sz w:val="20"/>
                <w:szCs w:val="20"/>
              </w:rPr>
              <w:t>,</w:t>
            </w:r>
            <w:r>
              <w:rPr>
                <w:rFonts w:ascii="Muli" w:eastAsia="Muli" w:hAnsi="Muli" w:cs="Muli"/>
                <w:color w:val="0000FF"/>
                <w:sz w:val="20"/>
                <w:szCs w:val="20"/>
              </w:rPr>
              <w:t xml:space="preserve"> </w:t>
            </w:r>
            <w:r>
              <w:rPr>
                <w:rFonts w:ascii="Muli" w:eastAsia="Muli" w:hAnsi="Muli" w:cs="Muli"/>
                <w:sz w:val="20"/>
                <w:szCs w:val="20"/>
              </w:rPr>
              <w:t xml:space="preserve">DQ3L1 TB p. 90). Notes in the Teacher Edition and the Progress Tracker support teachers to monitor students' mastery of their misconceptions and the three dimensions and give </w:t>
            </w:r>
            <w:r>
              <w:rPr>
                <w:rFonts w:ascii="Muli" w:eastAsia="Muli" w:hAnsi="Muli" w:cs="Muli"/>
                <w:sz w:val="20"/>
                <w:szCs w:val="20"/>
              </w:rPr>
              <w:t>suggestions for how to tailor instruction accordingly (</w:t>
            </w:r>
            <w:r>
              <w:rPr>
                <w:rFonts w:ascii="Muli" w:eastAsia="Muli" w:hAnsi="Muli" w:cs="Muli"/>
                <w:b/>
                <w:color w:val="FF126D"/>
                <w:sz w:val="20"/>
                <w:szCs w:val="20"/>
              </w:rPr>
              <w:t>DQ1L5 TE p. 42</w:t>
            </w:r>
            <w:r>
              <w:rPr>
                <w:rFonts w:ascii="Muli" w:eastAsia="Muli" w:hAnsi="Muli" w:cs="Muli"/>
                <w:sz w:val="20"/>
                <w:szCs w:val="20"/>
              </w:rPr>
              <w:t xml:space="preserve">, DQ2L3 TE p. 117, DQ2L9 TE p. 167, DQ3L7 TE p. 234). </w:t>
            </w:r>
          </w:p>
          <w:p w14:paraId="34850223" w14:textId="77777777" w:rsidR="00C56CD1" w:rsidRDefault="00DA00BA">
            <w:pPr>
              <w:pStyle w:val="normal0"/>
              <w:numPr>
                <w:ilvl w:val="0"/>
                <w:numId w:val="9"/>
              </w:numPr>
              <w:ind w:right="360"/>
              <w:contextualSpacing/>
              <w:rPr>
                <w:rFonts w:ascii="Muli" w:eastAsia="Muli" w:hAnsi="Muli" w:cs="Muli"/>
                <w:sz w:val="20"/>
                <w:szCs w:val="20"/>
              </w:rPr>
            </w:pPr>
            <w:r>
              <w:rPr>
                <w:rFonts w:ascii="Muli" w:eastAsia="Muli" w:hAnsi="Muli" w:cs="Muli"/>
                <w:sz w:val="20"/>
                <w:szCs w:val="20"/>
              </w:rPr>
              <w:t>Progress Trackers, digital assessment trackers, and rubrics support teachers in monitoring students progress. Pre-Exploration and re</w:t>
            </w:r>
            <w:r>
              <w:rPr>
                <w:rFonts w:ascii="Muli" w:eastAsia="Muli" w:hAnsi="Muli" w:cs="Muli"/>
                <w:sz w:val="20"/>
                <w:szCs w:val="20"/>
              </w:rPr>
              <w:t>gular Formative Assessments inform teacher at the point of use as to which students require further support.</w:t>
            </w:r>
          </w:p>
        </w:tc>
        <w:tc>
          <w:tcPr>
            <w:tcW w:w="4665" w:type="dxa"/>
            <w:tcMar>
              <w:top w:w="99" w:type="dxa"/>
              <w:left w:w="99" w:type="dxa"/>
              <w:bottom w:w="99" w:type="dxa"/>
              <w:right w:w="99" w:type="dxa"/>
            </w:tcMar>
          </w:tcPr>
          <w:p w14:paraId="6DAFD09A" w14:textId="77777777" w:rsidR="00C56CD1" w:rsidRDefault="00DA00BA">
            <w:pPr>
              <w:pStyle w:val="normal0"/>
              <w:ind w:left="-90"/>
              <w:rPr>
                <w:rFonts w:ascii="Muli" w:eastAsia="Muli" w:hAnsi="Muli" w:cs="Muli"/>
                <w:sz w:val="20"/>
                <w:szCs w:val="20"/>
              </w:rPr>
            </w:pPr>
            <w:r>
              <w:rPr>
                <w:rFonts w:ascii="Muli" w:eastAsia="Muli" w:hAnsi="Muli" w:cs="Muli"/>
                <w:noProof/>
                <w:sz w:val="20"/>
                <w:szCs w:val="20"/>
              </w:rPr>
              <w:drawing>
                <wp:inline distT="114300" distB="114300" distL="114300" distR="114300" wp14:anchorId="301A9914" wp14:editId="076F4F03">
                  <wp:extent cx="2712537" cy="2176463"/>
                  <wp:effectExtent l="0" t="0" r="0" b="0"/>
                  <wp:docPr id="5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9"/>
                          <a:srcRect/>
                          <a:stretch>
                            <a:fillRect/>
                          </a:stretch>
                        </pic:blipFill>
                        <pic:spPr>
                          <a:xfrm>
                            <a:off x="0" y="0"/>
                            <a:ext cx="2712537" cy="2176463"/>
                          </a:xfrm>
                          <a:prstGeom prst="rect">
                            <a:avLst/>
                          </a:prstGeom>
                          <a:ln/>
                        </pic:spPr>
                      </pic:pic>
                    </a:graphicData>
                  </a:graphic>
                </wp:inline>
              </w:drawing>
            </w:r>
          </w:p>
          <w:p w14:paraId="0CE2A6A0" w14:textId="77777777" w:rsidR="00C56CD1" w:rsidRDefault="00DA00BA">
            <w:pPr>
              <w:pStyle w:val="normal0"/>
              <w:rPr>
                <w:rFonts w:ascii="Muli" w:eastAsia="Muli" w:hAnsi="Muli" w:cs="Muli"/>
                <w:b/>
                <w:color w:val="FF126D"/>
                <w:sz w:val="20"/>
                <w:szCs w:val="20"/>
              </w:rPr>
            </w:pPr>
            <w:r>
              <w:rPr>
                <w:rFonts w:ascii="Muli" w:eastAsia="Muli" w:hAnsi="Muli" w:cs="Muli"/>
                <w:b/>
                <w:color w:val="FF126D"/>
                <w:sz w:val="20"/>
                <w:szCs w:val="20"/>
              </w:rPr>
              <w:lastRenderedPageBreak/>
              <w:t>DQ1L1 TB p. 4</w:t>
            </w:r>
          </w:p>
          <w:p w14:paraId="6E1EF335" w14:textId="77777777" w:rsidR="00C56CD1" w:rsidRDefault="00C56CD1">
            <w:pPr>
              <w:pStyle w:val="normal0"/>
              <w:rPr>
                <w:rFonts w:ascii="Muli" w:eastAsia="Muli" w:hAnsi="Muli" w:cs="Muli"/>
                <w:b/>
                <w:color w:val="FF126D"/>
                <w:sz w:val="20"/>
                <w:szCs w:val="20"/>
              </w:rPr>
            </w:pPr>
          </w:p>
          <w:p w14:paraId="3465231A" w14:textId="77777777" w:rsidR="00C56CD1" w:rsidRDefault="00DA00BA">
            <w:pPr>
              <w:pStyle w:val="normal0"/>
              <w:rPr>
                <w:rFonts w:ascii="Muli" w:eastAsia="Muli" w:hAnsi="Muli" w:cs="Muli"/>
                <w:b/>
                <w:color w:val="FF126D"/>
                <w:sz w:val="20"/>
                <w:szCs w:val="20"/>
              </w:rPr>
            </w:pPr>
            <w:r>
              <w:rPr>
                <w:rFonts w:ascii="Muli" w:eastAsia="Muli" w:hAnsi="Muli" w:cs="Muli"/>
                <w:b/>
                <w:noProof/>
                <w:color w:val="FF126D"/>
                <w:sz w:val="20"/>
                <w:szCs w:val="20"/>
              </w:rPr>
              <w:drawing>
                <wp:inline distT="114300" distB="114300" distL="114300" distR="114300" wp14:anchorId="5436E926" wp14:editId="599B4672">
                  <wp:extent cx="2828925" cy="1219200"/>
                  <wp:effectExtent l="12700" t="12700" r="12700" b="127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0"/>
                          <a:srcRect/>
                          <a:stretch>
                            <a:fillRect/>
                          </a:stretch>
                        </pic:blipFill>
                        <pic:spPr>
                          <a:xfrm>
                            <a:off x="0" y="0"/>
                            <a:ext cx="2828925" cy="1219200"/>
                          </a:xfrm>
                          <a:prstGeom prst="rect">
                            <a:avLst/>
                          </a:prstGeom>
                          <a:ln w="12700">
                            <a:solidFill>
                              <a:srgbClr val="D9D9D9"/>
                            </a:solidFill>
                            <a:prstDash val="solid"/>
                          </a:ln>
                        </pic:spPr>
                      </pic:pic>
                    </a:graphicData>
                  </a:graphic>
                </wp:inline>
              </w:drawing>
            </w:r>
          </w:p>
          <w:p w14:paraId="2700772F" w14:textId="77777777" w:rsidR="00C56CD1" w:rsidRDefault="00DA00BA">
            <w:pPr>
              <w:pStyle w:val="normal0"/>
              <w:rPr>
                <w:rFonts w:ascii="Muli" w:eastAsia="Muli" w:hAnsi="Muli" w:cs="Muli"/>
                <w:b/>
                <w:color w:val="FF126D"/>
                <w:sz w:val="20"/>
                <w:szCs w:val="20"/>
              </w:rPr>
            </w:pPr>
            <w:r>
              <w:rPr>
                <w:rFonts w:ascii="Muli" w:eastAsia="Muli" w:hAnsi="Muli" w:cs="Muli"/>
                <w:b/>
                <w:color w:val="FF126D"/>
                <w:sz w:val="20"/>
                <w:szCs w:val="20"/>
              </w:rPr>
              <w:t>DQ1L5 TE p. 42</w:t>
            </w:r>
          </w:p>
        </w:tc>
      </w:tr>
    </w:tbl>
    <w:p w14:paraId="254947E1" w14:textId="77777777" w:rsidR="00C56CD1" w:rsidRDefault="00C56CD1">
      <w:pPr>
        <w:pStyle w:val="normal0"/>
        <w:spacing w:line="276" w:lineRule="auto"/>
        <w:ind w:left="90"/>
        <w:rPr>
          <w:rFonts w:ascii="Muli" w:eastAsia="Muli" w:hAnsi="Muli" w:cs="Muli"/>
        </w:rPr>
      </w:pPr>
    </w:p>
    <w:sectPr w:rsidR="00C56CD1">
      <w:headerReference w:type="default" r:id="rId51"/>
      <w:footerReference w:type="even" r:id="rId52"/>
      <w:footerReference w:type="default" r:id="rId53"/>
      <w:headerReference w:type="first" r:id="rId54"/>
      <w:footerReference w:type="first" r:id="rId55"/>
      <w:pgSz w:w="15840" w:h="12240"/>
      <w:pgMar w:top="1000" w:right="560" w:bottom="640" w:left="900" w:header="360" w:footer="443" w:gutter="0"/>
      <w:pgNumType w:start="1"/>
      <w:cols w:space="720" w:equalWidth="0">
        <w:col w:w="14380" w:space="0"/>
      </w:cols>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D0454F" w14:textId="77777777" w:rsidR="00000000" w:rsidRDefault="00DA00BA">
      <w:r>
        <w:separator/>
      </w:r>
    </w:p>
  </w:endnote>
  <w:endnote w:type="continuationSeparator" w:id="0">
    <w:p w14:paraId="4FA5CB5D" w14:textId="77777777" w:rsidR="00000000" w:rsidRDefault="00DA0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uli">
    <w:panose1 w:val="02000503000000000000"/>
    <w:charset w:val="00"/>
    <w:family w:val="auto"/>
    <w:pitch w:val="variable"/>
    <w:sig w:usb0="A00000EF" w:usb1="4000204B" w:usb2="00000000" w:usb3="00000000" w:csb0="00000093"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F16A" w14:textId="77777777" w:rsidR="00DA00BA" w:rsidRDefault="00DA00BA" w:rsidP="009A03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E24D44" w14:textId="77777777" w:rsidR="00DA00BA" w:rsidRDefault="00DA00BA" w:rsidP="00DA00B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C1C78" w14:textId="77777777" w:rsidR="00DA00BA" w:rsidRDefault="00DA00BA" w:rsidP="009A03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14:paraId="57416371" w14:textId="77777777" w:rsidR="00C56CD1" w:rsidRDefault="00C56CD1" w:rsidP="00DA00BA">
    <w:pPr>
      <w:pStyle w:val="normal0"/>
      <w:pBdr>
        <w:top w:val="nil"/>
        <w:left w:val="nil"/>
        <w:bottom w:val="nil"/>
        <w:right w:val="nil"/>
        <w:between w:val="nil"/>
      </w:pBdr>
      <w:ind w:right="360"/>
      <w:rPr>
        <w:color w:val="000000"/>
        <w:sz w:val="20"/>
        <w:szCs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050E7" w14:textId="77777777" w:rsidR="00C56CD1" w:rsidRDefault="00C56CD1">
    <w:pPr>
      <w:pStyle w:val="normal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BCED9C" w14:textId="77777777" w:rsidR="00000000" w:rsidRDefault="00DA00BA">
      <w:r>
        <w:separator/>
      </w:r>
    </w:p>
  </w:footnote>
  <w:footnote w:type="continuationSeparator" w:id="0">
    <w:p w14:paraId="208E38C9" w14:textId="77777777" w:rsidR="00000000" w:rsidRDefault="00DA00B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D0A4D" w14:textId="77777777" w:rsidR="00C56CD1" w:rsidRDefault="00DA00BA">
    <w:pPr>
      <w:pStyle w:val="normal0"/>
    </w:pPr>
    <w:r>
      <w:rPr>
        <w:noProof/>
      </w:rPr>
      <w:drawing>
        <wp:anchor distT="0" distB="0" distL="0" distR="0" simplePos="0" relativeHeight="251658240" behindDoc="0" locked="0" layoutInCell="1" hidden="0" allowOverlap="1" wp14:anchorId="6F33F1E8" wp14:editId="36D43A8E">
          <wp:simplePos x="0" y="0"/>
          <wp:positionH relativeFrom="column">
            <wp:posOffset>7621058</wp:posOffset>
          </wp:positionH>
          <wp:positionV relativeFrom="paragraph">
            <wp:posOffset>10583</wp:posOffset>
          </wp:positionV>
          <wp:extent cx="1504950" cy="360045"/>
          <wp:effectExtent l="0" t="0" r="0" b="0"/>
          <wp:wrapTopAndBottom distT="0" distB="0"/>
          <wp:docPr id="5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
                  <a:srcRect l="1280" t="17512" r="77687" b="17586"/>
                  <a:stretch>
                    <a:fillRect/>
                  </a:stretch>
                </pic:blipFill>
                <pic:spPr>
                  <a:xfrm>
                    <a:off x="0" y="0"/>
                    <a:ext cx="1504950" cy="360045"/>
                  </a:xfrm>
                  <a:prstGeom prst="rect">
                    <a:avLst/>
                  </a:prstGeom>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9776A" w14:textId="77777777" w:rsidR="00C56CD1" w:rsidRDefault="00DA00BA">
    <w:pPr>
      <w:pStyle w:val="normal0"/>
    </w:pPr>
    <w:r>
      <w:rPr>
        <w:noProof/>
      </w:rPr>
      <w:drawing>
        <wp:anchor distT="57150" distB="57150" distL="57150" distR="57150" simplePos="0" relativeHeight="251659264" behindDoc="0" locked="0" layoutInCell="1" hidden="0" allowOverlap="1" wp14:anchorId="06D73B5F" wp14:editId="0A0D6091">
          <wp:simplePos x="0" y="0"/>
          <wp:positionH relativeFrom="column">
            <wp:posOffset>-257174</wp:posOffset>
          </wp:positionH>
          <wp:positionV relativeFrom="paragraph">
            <wp:posOffset>-19049</wp:posOffset>
          </wp:positionV>
          <wp:extent cx="9544050" cy="1143000"/>
          <wp:effectExtent l="0" t="0" r="0" b="0"/>
          <wp:wrapSquare wrapText="bothSides" distT="57150" distB="57150" distL="57150" distR="57150"/>
          <wp:docPr id="2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
                  <a:srcRect t="8041" b="8041"/>
                  <a:stretch>
                    <a:fillRect/>
                  </a:stretch>
                </pic:blipFill>
                <pic:spPr>
                  <a:xfrm>
                    <a:off x="0" y="0"/>
                    <a:ext cx="9544050" cy="1143000"/>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D2904"/>
    <w:multiLevelType w:val="hybridMultilevel"/>
    <w:tmpl w:val="5C7A108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173A35E0"/>
    <w:multiLevelType w:val="multilevel"/>
    <w:tmpl w:val="47062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8C856DA"/>
    <w:multiLevelType w:val="multilevel"/>
    <w:tmpl w:val="4426F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9836480"/>
    <w:multiLevelType w:val="multilevel"/>
    <w:tmpl w:val="BC721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E30444A"/>
    <w:multiLevelType w:val="multilevel"/>
    <w:tmpl w:val="0B9EF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5AB45C2"/>
    <w:multiLevelType w:val="multilevel"/>
    <w:tmpl w:val="D9F62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707774E"/>
    <w:multiLevelType w:val="multilevel"/>
    <w:tmpl w:val="1BAE5AF2"/>
    <w:lvl w:ilvl="0">
      <w:start w:val="1"/>
      <w:numFmt w:val="decimal"/>
      <w:lvlText w:val="%1."/>
      <w:lvlJc w:val="left"/>
      <w:pPr>
        <w:ind w:left="1393" w:hanging="404"/>
      </w:pPr>
      <w:rPr>
        <w:rFonts w:ascii="Calibri" w:eastAsia="Calibri" w:hAnsi="Calibri" w:cs="Calibri"/>
        <w:b/>
        <w:sz w:val="20"/>
        <w:szCs w:val="20"/>
      </w:rPr>
    </w:lvl>
    <w:lvl w:ilvl="1">
      <w:numFmt w:val="bullet"/>
      <w:lvlText w:val="•"/>
      <w:lvlJc w:val="left"/>
      <w:pPr>
        <w:ind w:left="2722" w:hanging="404"/>
      </w:pPr>
    </w:lvl>
    <w:lvl w:ilvl="2">
      <w:numFmt w:val="bullet"/>
      <w:lvlText w:val="•"/>
      <w:lvlJc w:val="left"/>
      <w:pPr>
        <w:ind w:left="4044" w:hanging="404"/>
      </w:pPr>
    </w:lvl>
    <w:lvl w:ilvl="3">
      <w:numFmt w:val="bullet"/>
      <w:lvlText w:val="•"/>
      <w:lvlJc w:val="left"/>
      <w:pPr>
        <w:ind w:left="5366" w:hanging="404"/>
      </w:pPr>
    </w:lvl>
    <w:lvl w:ilvl="4">
      <w:numFmt w:val="bullet"/>
      <w:lvlText w:val="•"/>
      <w:lvlJc w:val="left"/>
      <w:pPr>
        <w:ind w:left="6688" w:hanging="404"/>
      </w:pPr>
    </w:lvl>
    <w:lvl w:ilvl="5">
      <w:numFmt w:val="bullet"/>
      <w:lvlText w:val="•"/>
      <w:lvlJc w:val="left"/>
      <w:pPr>
        <w:ind w:left="8010" w:hanging="404"/>
      </w:pPr>
    </w:lvl>
    <w:lvl w:ilvl="6">
      <w:numFmt w:val="bullet"/>
      <w:lvlText w:val="•"/>
      <w:lvlJc w:val="left"/>
      <w:pPr>
        <w:ind w:left="9332" w:hanging="404"/>
      </w:pPr>
    </w:lvl>
    <w:lvl w:ilvl="7">
      <w:numFmt w:val="bullet"/>
      <w:lvlText w:val="•"/>
      <w:lvlJc w:val="left"/>
      <w:pPr>
        <w:ind w:left="10654" w:hanging="404"/>
      </w:pPr>
    </w:lvl>
    <w:lvl w:ilvl="8">
      <w:numFmt w:val="bullet"/>
      <w:lvlText w:val="•"/>
      <w:lvlJc w:val="left"/>
      <w:pPr>
        <w:ind w:left="11976" w:hanging="404"/>
      </w:pPr>
    </w:lvl>
  </w:abstractNum>
  <w:abstractNum w:abstractNumId="7">
    <w:nsid w:val="28A61CE2"/>
    <w:multiLevelType w:val="multilevel"/>
    <w:tmpl w:val="94EEF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BA52530"/>
    <w:multiLevelType w:val="multilevel"/>
    <w:tmpl w:val="B310F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DC62EF6"/>
    <w:multiLevelType w:val="multilevel"/>
    <w:tmpl w:val="7D384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18A36D0"/>
    <w:multiLevelType w:val="multilevel"/>
    <w:tmpl w:val="FD681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8FE2F52"/>
    <w:multiLevelType w:val="multilevel"/>
    <w:tmpl w:val="4C04A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7C76CC1"/>
    <w:multiLevelType w:val="multilevel"/>
    <w:tmpl w:val="CF2A1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81752E4"/>
    <w:multiLevelType w:val="multilevel"/>
    <w:tmpl w:val="89A4D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48714885"/>
    <w:multiLevelType w:val="multilevel"/>
    <w:tmpl w:val="AC3CF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88A0899"/>
    <w:multiLevelType w:val="multilevel"/>
    <w:tmpl w:val="EBCA5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490A4C90"/>
    <w:multiLevelType w:val="multilevel"/>
    <w:tmpl w:val="D9169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AC071B0"/>
    <w:multiLevelType w:val="multilevel"/>
    <w:tmpl w:val="96303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CF77018"/>
    <w:multiLevelType w:val="multilevel"/>
    <w:tmpl w:val="29E0E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4DB14BC6"/>
    <w:multiLevelType w:val="multilevel"/>
    <w:tmpl w:val="733C4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54BA2854"/>
    <w:multiLevelType w:val="multilevel"/>
    <w:tmpl w:val="D14E1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56303311"/>
    <w:multiLevelType w:val="multilevel"/>
    <w:tmpl w:val="9230D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5D2B7A19"/>
    <w:multiLevelType w:val="multilevel"/>
    <w:tmpl w:val="B0AE8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68234532"/>
    <w:multiLevelType w:val="multilevel"/>
    <w:tmpl w:val="87F8D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8C23831"/>
    <w:multiLevelType w:val="multilevel"/>
    <w:tmpl w:val="BCCC5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70F11823"/>
    <w:multiLevelType w:val="multilevel"/>
    <w:tmpl w:val="737E3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9"/>
  </w:num>
  <w:num w:numId="3">
    <w:abstractNumId w:val="23"/>
  </w:num>
  <w:num w:numId="4">
    <w:abstractNumId w:val="3"/>
  </w:num>
  <w:num w:numId="5">
    <w:abstractNumId w:val="7"/>
  </w:num>
  <w:num w:numId="6">
    <w:abstractNumId w:val="12"/>
  </w:num>
  <w:num w:numId="7">
    <w:abstractNumId w:val="6"/>
  </w:num>
  <w:num w:numId="8">
    <w:abstractNumId w:val="8"/>
  </w:num>
  <w:num w:numId="9">
    <w:abstractNumId w:val="4"/>
  </w:num>
  <w:num w:numId="10">
    <w:abstractNumId w:val="24"/>
  </w:num>
  <w:num w:numId="11">
    <w:abstractNumId w:val="17"/>
  </w:num>
  <w:num w:numId="12">
    <w:abstractNumId w:val="18"/>
  </w:num>
  <w:num w:numId="13">
    <w:abstractNumId w:val="10"/>
  </w:num>
  <w:num w:numId="14">
    <w:abstractNumId w:val="20"/>
  </w:num>
  <w:num w:numId="15">
    <w:abstractNumId w:val="22"/>
  </w:num>
  <w:num w:numId="16">
    <w:abstractNumId w:val="16"/>
  </w:num>
  <w:num w:numId="17">
    <w:abstractNumId w:val="5"/>
  </w:num>
  <w:num w:numId="18">
    <w:abstractNumId w:val="2"/>
  </w:num>
  <w:num w:numId="19">
    <w:abstractNumId w:val="13"/>
  </w:num>
  <w:num w:numId="20">
    <w:abstractNumId w:val="19"/>
  </w:num>
  <w:num w:numId="21">
    <w:abstractNumId w:val="14"/>
  </w:num>
  <w:num w:numId="22">
    <w:abstractNumId w:val="25"/>
  </w:num>
  <w:num w:numId="23">
    <w:abstractNumId w:val="15"/>
  </w:num>
  <w:num w:numId="24">
    <w:abstractNumId w:val="11"/>
  </w:num>
  <w:num w:numId="25">
    <w:abstractNumId w:val="2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56CD1"/>
    <w:rsid w:val="00A67DBC"/>
    <w:rsid w:val="00C56CD1"/>
    <w:rsid w:val="00DA00B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4FE9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0" w:type="dxa"/>
        <w:bottom w:w="0" w:type="dxa"/>
        <w:right w:w="0" w:type="dxa"/>
      </w:tblCellMar>
    </w:tbl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 w:type="table" w:customStyle="1" w:styleId="a8">
    <w:basedOn w:val="TableNormal"/>
    <w:tblPr>
      <w:tblStyleRowBandSize w:val="1"/>
      <w:tblStyleColBandSize w:val="1"/>
      <w:tblInd w:w="0" w:type="dxa"/>
      <w:tblCellMar>
        <w:top w:w="0" w:type="dxa"/>
        <w:left w:w="0" w:type="dxa"/>
        <w:bottom w:w="0" w:type="dxa"/>
        <w:right w:w="0" w:type="dxa"/>
      </w:tblCellMar>
    </w:tblPr>
  </w:style>
  <w:style w:type="table" w:customStyle="1" w:styleId="a9">
    <w:basedOn w:val="TableNormal"/>
    <w:tblPr>
      <w:tblStyleRowBandSize w:val="1"/>
      <w:tblStyleColBandSize w:val="1"/>
      <w:tblInd w:w="0" w:type="dxa"/>
      <w:tblCellMar>
        <w:top w:w="0" w:type="dxa"/>
        <w:left w:w="0" w:type="dxa"/>
        <w:bottom w:w="0" w:type="dxa"/>
        <w:right w:w="0" w:type="dxa"/>
      </w:tblCellMar>
    </w:tblPr>
  </w:style>
  <w:style w:type="paragraph" w:styleId="CommentText">
    <w:name w:val="annotation text"/>
    <w:basedOn w:val="Normal"/>
    <w:link w:val="CommentTextChar"/>
    <w:uiPriority w:val="99"/>
    <w:semiHidden/>
    <w:unhideWhenUsed/>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A67D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7DBC"/>
    <w:rPr>
      <w:rFonts w:ascii="Lucida Grande" w:hAnsi="Lucida Grande" w:cs="Lucida Grande"/>
      <w:sz w:val="18"/>
      <w:szCs w:val="18"/>
    </w:rPr>
  </w:style>
  <w:style w:type="paragraph" w:styleId="Footer">
    <w:name w:val="footer"/>
    <w:basedOn w:val="Normal"/>
    <w:link w:val="FooterChar"/>
    <w:uiPriority w:val="99"/>
    <w:unhideWhenUsed/>
    <w:rsid w:val="00DA00BA"/>
    <w:pPr>
      <w:tabs>
        <w:tab w:val="center" w:pos="4320"/>
        <w:tab w:val="right" w:pos="8640"/>
      </w:tabs>
    </w:pPr>
  </w:style>
  <w:style w:type="character" w:customStyle="1" w:styleId="FooterChar">
    <w:name w:val="Footer Char"/>
    <w:basedOn w:val="DefaultParagraphFont"/>
    <w:link w:val="Footer"/>
    <w:uiPriority w:val="99"/>
    <w:rsid w:val="00DA00BA"/>
  </w:style>
  <w:style w:type="character" w:styleId="PageNumber">
    <w:name w:val="page number"/>
    <w:basedOn w:val="DefaultParagraphFont"/>
    <w:uiPriority w:val="99"/>
    <w:semiHidden/>
    <w:unhideWhenUsed/>
    <w:rsid w:val="00DA00B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0" w:type="dxa"/>
        <w:bottom w:w="0" w:type="dxa"/>
        <w:right w:w="0"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0" w:type="dxa"/>
        <w:bottom w:w="0" w:type="dxa"/>
        <w:right w:w="0" w:type="dxa"/>
      </w:tblCellMar>
    </w:tbl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 w:type="table" w:customStyle="1" w:styleId="a7">
    <w:basedOn w:val="TableNormal"/>
    <w:tblPr>
      <w:tblStyleRowBandSize w:val="1"/>
      <w:tblStyleColBandSize w:val="1"/>
      <w:tblInd w:w="0" w:type="dxa"/>
      <w:tblCellMar>
        <w:top w:w="0" w:type="dxa"/>
        <w:left w:w="0" w:type="dxa"/>
        <w:bottom w:w="0" w:type="dxa"/>
        <w:right w:w="0" w:type="dxa"/>
      </w:tblCellMar>
    </w:tblPr>
  </w:style>
  <w:style w:type="table" w:customStyle="1" w:styleId="a8">
    <w:basedOn w:val="TableNormal"/>
    <w:tblPr>
      <w:tblStyleRowBandSize w:val="1"/>
      <w:tblStyleColBandSize w:val="1"/>
      <w:tblInd w:w="0" w:type="dxa"/>
      <w:tblCellMar>
        <w:top w:w="0" w:type="dxa"/>
        <w:left w:w="0" w:type="dxa"/>
        <w:bottom w:w="0" w:type="dxa"/>
        <w:right w:w="0" w:type="dxa"/>
      </w:tblCellMar>
    </w:tblPr>
  </w:style>
  <w:style w:type="table" w:customStyle="1" w:styleId="a9">
    <w:basedOn w:val="TableNormal"/>
    <w:tblPr>
      <w:tblStyleRowBandSize w:val="1"/>
      <w:tblStyleColBandSize w:val="1"/>
      <w:tblInd w:w="0" w:type="dxa"/>
      <w:tblCellMar>
        <w:top w:w="0" w:type="dxa"/>
        <w:left w:w="0" w:type="dxa"/>
        <w:bottom w:w="0" w:type="dxa"/>
        <w:right w:w="0" w:type="dxa"/>
      </w:tblCellMar>
    </w:tblPr>
  </w:style>
  <w:style w:type="paragraph" w:styleId="CommentText">
    <w:name w:val="annotation text"/>
    <w:basedOn w:val="Normal"/>
    <w:link w:val="CommentTextChar"/>
    <w:uiPriority w:val="99"/>
    <w:semiHidden/>
    <w:unhideWhenUsed/>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A67D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7DBC"/>
    <w:rPr>
      <w:rFonts w:ascii="Lucida Grande" w:hAnsi="Lucida Grande" w:cs="Lucida Grande"/>
      <w:sz w:val="18"/>
      <w:szCs w:val="18"/>
    </w:rPr>
  </w:style>
  <w:style w:type="paragraph" w:styleId="Footer">
    <w:name w:val="footer"/>
    <w:basedOn w:val="Normal"/>
    <w:link w:val="FooterChar"/>
    <w:uiPriority w:val="99"/>
    <w:unhideWhenUsed/>
    <w:rsid w:val="00DA00BA"/>
    <w:pPr>
      <w:tabs>
        <w:tab w:val="center" w:pos="4320"/>
        <w:tab w:val="right" w:pos="8640"/>
      </w:tabs>
    </w:pPr>
  </w:style>
  <w:style w:type="character" w:customStyle="1" w:styleId="FooterChar">
    <w:name w:val="Footer Char"/>
    <w:basedOn w:val="DefaultParagraphFont"/>
    <w:link w:val="Footer"/>
    <w:uiPriority w:val="99"/>
    <w:rsid w:val="00DA00BA"/>
  </w:style>
  <w:style w:type="character" w:styleId="PageNumber">
    <w:name w:val="page number"/>
    <w:basedOn w:val="DefaultParagraphFont"/>
    <w:uiPriority w:val="99"/>
    <w:semiHidden/>
    <w:unhideWhenUsed/>
    <w:rsid w:val="00DA00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50" Type="http://schemas.openxmlformats.org/officeDocument/2006/relationships/image" Target="media/image43.png"/><Relationship Id="rId51" Type="http://schemas.openxmlformats.org/officeDocument/2006/relationships/header" Target="header1.xml"/><Relationship Id="rId52" Type="http://schemas.openxmlformats.org/officeDocument/2006/relationships/footer" Target="footer1.xml"/><Relationship Id="rId53" Type="http://schemas.openxmlformats.org/officeDocument/2006/relationships/footer" Target="footer2.xml"/><Relationship Id="rId54" Type="http://schemas.openxmlformats.org/officeDocument/2006/relationships/header" Target="header2.xml"/><Relationship Id="rId55" Type="http://schemas.openxmlformats.org/officeDocument/2006/relationships/footer" Target="footer3.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42</Pages>
  <Words>5442</Words>
  <Characters>31020</Characters>
  <Application>Microsoft Macintosh Word</Application>
  <DocSecurity>0</DocSecurity>
  <Lines>258</Lines>
  <Paragraphs>72</Paragraphs>
  <ScaleCrop>false</ScaleCrop>
  <Company/>
  <LinksUpToDate>false</LinksUpToDate>
  <CharactersWithSpaces>36390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Saxon Argue</cp:lastModifiedBy>
  <cp:revision>3</cp:revision>
  <dcterms:created xsi:type="dcterms:W3CDTF">2018-11-19T14:39:00Z</dcterms:created>
  <dcterms:modified xsi:type="dcterms:W3CDTF">2018-11-19T14:43:00Z</dcterms:modified>
</cp:coreProperties>
</file>