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2645D" w14:textId="77777777" w:rsidR="002B129E" w:rsidRDefault="002B129E">
      <w:pPr>
        <w:pStyle w:val="normal0"/>
        <w:pBdr>
          <w:top w:val="nil"/>
          <w:left w:val="nil"/>
          <w:bottom w:val="nil"/>
          <w:right w:val="nil"/>
          <w:between w:val="nil"/>
        </w:pBdr>
        <w:ind w:left="419"/>
        <w:rPr>
          <w:color w:val="000000"/>
        </w:rPr>
      </w:pPr>
    </w:p>
    <w:p w14:paraId="2A813048" w14:textId="77777777" w:rsidR="002B129E" w:rsidRDefault="002B129E">
      <w:pPr>
        <w:pStyle w:val="normal0"/>
        <w:pBdr>
          <w:top w:val="nil"/>
          <w:left w:val="nil"/>
          <w:bottom w:val="nil"/>
          <w:right w:val="nil"/>
          <w:between w:val="nil"/>
        </w:pBdr>
        <w:rPr>
          <w:color w:val="000000"/>
        </w:rPr>
      </w:pPr>
    </w:p>
    <w:p w14:paraId="39261498" w14:textId="77777777" w:rsidR="002B129E" w:rsidRDefault="002B129E">
      <w:pPr>
        <w:pStyle w:val="normal0"/>
        <w:spacing w:line="276" w:lineRule="auto"/>
        <w:rPr>
          <w:rFonts w:ascii="Muli" w:eastAsia="Muli" w:hAnsi="Muli" w:cs="Muli"/>
          <w:sz w:val="20"/>
          <w:szCs w:val="20"/>
        </w:rPr>
      </w:pPr>
    </w:p>
    <w:tbl>
      <w:tblPr>
        <w:tblStyle w:val="TableGrid"/>
        <w:tblW w:w="14142" w:type="dxa"/>
        <w:tblBorders>
          <w:insideH w:val="none" w:sz="0" w:space="0" w:color="auto"/>
          <w:insideV w:val="none" w:sz="0" w:space="0" w:color="auto"/>
        </w:tblBorders>
        <w:shd w:val="clear" w:color="auto" w:fill="2A3F7E"/>
        <w:tblLook w:val="04A0" w:firstRow="1" w:lastRow="0" w:firstColumn="1" w:lastColumn="0" w:noHBand="0" w:noVBand="1"/>
      </w:tblPr>
      <w:tblGrid>
        <w:gridCol w:w="14142"/>
      </w:tblGrid>
      <w:tr w:rsidR="009D7423" w14:paraId="29F1D237" w14:textId="77777777" w:rsidTr="009D7423">
        <w:trPr>
          <w:trHeight w:val="760"/>
        </w:trPr>
        <w:tc>
          <w:tcPr>
            <w:tcW w:w="14142" w:type="dxa"/>
            <w:shd w:val="clear" w:color="auto" w:fill="2A3F7E"/>
          </w:tcPr>
          <w:p w14:paraId="04F0EE47" w14:textId="77777777" w:rsidR="009D7423" w:rsidRDefault="009D7423">
            <w:pPr>
              <w:pStyle w:val="normal0"/>
              <w:spacing w:before="6" w:after="1"/>
            </w:pPr>
            <w:r>
              <w:rPr>
                <w:rFonts w:ascii="Muli" w:eastAsia="Muli" w:hAnsi="Muli" w:cs="Muli"/>
                <w:b/>
                <w:color w:val="FFFFFF"/>
                <w:sz w:val="24"/>
                <w:szCs w:val="24"/>
              </w:rPr>
              <w:t>Designed for the NGSS: Foundations Teacher Support Evidence Chart</w:t>
            </w:r>
          </w:p>
        </w:tc>
      </w:tr>
    </w:tbl>
    <w:p w14:paraId="3D1A5934" w14:textId="77777777" w:rsidR="002B129E" w:rsidRDefault="002B129E">
      <w:pPr>
        <w:pStyle w:val="normal0"/>
        <w:spacing w:before="6" w:after="1"/>
      </w:pPr>
    </w:p>
    <w:tbl>
      <w:tblPr>
        <w:tblStyle w:val="a0"/>
        <w:tblW w:w="14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4"/>
        <w:gridCol w:w="1620"/>
        <w:gridCol w:w="1261"/>
        <w:gridCol w:w="1261"/>
      </w:tblGrid>
      <w:tr w:rsidR="002B129E" w14:paraId="176AAE2E" w14:textId="77777777">
        <w:trPr>
          <w:trHeight w:val="280"/>
        </w:trPr>
        <w:tc>
          <w:tcPr>
            <w:tcW w:w="9925" w:type="dxa"/>
            <w:shd w:val="clear" w:color="auto" w:fill="FF126D"/>
          </w:tcPr>
          <w:p w14:paraId="36DCF5D6" w14:textId="77777777" w:rsidR="002B129E" w:rsidRDefault="009D7423">
            <w:pPr>
              <w:pStyle w:val="normal0"/>
              <w:spacing w:before="27"/>
              <w:ind w:left="107"/>
              <w:rPr>
                <w:rFonts w:ascii="Muli" w:eastAsia="Muli" w:hAnsi="Muli" w:cs="Muli"/>
                <w:sz w:val="20"/>
                <w:szCs w:val="20"/>
              </w:rPr>
            </w:pPr>
            <w:r>
              <w:rPr>
                <w:rFonts w:ascii="Muli" w:eastAsia="Muli" w:hAnsi="Muli" w:cs="Muli"/>
                <w:color w:val="FFFFFF"/>
                <w:sz w:val="20"/>
                <w:szCs w:val="20"/>
              </w:rPr>
              <w:t>Teacher materials…</w:t>
            </w:r>
          </w:p>
        </w:tc>
        <w:tc>
          <w:tcPr>
            <w:tcW w:w="1620" w:type="dxa"/>
            <w:shd w:val="clear" w:color="auto" w:fill="FF126D"/>
          </w:tcPr>
          <w:p w14:paraId="55CFD354" w14:textId="77777777" w:rsidR="002B129E" w:rsidRDefault="009D7423">
            <w:pPr>
              <w:pStyle w:val="normal0"/>
              <w:spacing w:before="27"/>
              <w:ind w:left="275"/>
              <w:rPr>
                <w:rFonts w:ascii="Muli" w:eastAsia="Muli" w:hAnsi="Muli" w:cs="Muli"/>
                <w:sz w:val="20"/>
                <w:szCs w:val="20"/>
              </w:rPr>
            </w:pPr>
            <w:r>
              <w:rPr>
                <w:rFonts w:ascii="Muli" w:eastAsia="Muli" w:hAnsi="Muli" w:cs="Muli"/>
                <w:color w:val="FFFFFF"/>
                <w:sz w:val="20"/>
                <w:szCs w:val="20"/>
              </w:rPr>
              <w:t>Strong</w:t>
            </w:r>
          </w:p>
        </w:tc>
        <w:tc>
          <w:tcPr>
            <w:tcW w:w="1261" w:type="dxa"/>
            <w:shd w:val="clear" w:color="auto" w:fill="FF126D"/>
          </w:tcPr>
          <w:p w14:paraId="20EB2D63" w14:textId="77777777" w:rsidR="002B129E" w:rsidRDefault="009D7423">
            <w:pPr>
              <w:pStyle w:val="normal0"/>
              <w:spacing w:before="27"/>
              <w:ind w:left="235"/>
              <w:rPr>
                <w:rFonts w:ascii="Muli" w:eastAsia="Muli" w:hAnsi="Muli" w:cs="Muli"/>
                <w:sz w:val="20"/>
                <w:szCs w:val="20"/>
              </w:rPr>
            </w:pPr>
            <w:r>
              <w:rPr>
                <w:rFonts w:ascii="Muli" w:eastAsia="Muli" w:hAnsi="Muli" w:cs="Muli"/>
                <w:color w:val="FFFFFF"/>
                <w:sz w:val="20"/>
                <w:szCs w:val="20"/>
              </w:rPr>
              <w:t>Adequate</w:t>
            </w:r>
          </w:p>
        </w:tc>
        <w:tc>
          <w:tcPr>
            <w:tcW w:w="1261" w:type="dxa"/>
            <w:shd w:val="clear" w:color="auto" w:fill="FF126D"/>
          </w:tcPr>
          <w:p w14:paraId="7938E9B5" w14:textId="77777777" w:rsidR="002B129E" w:rsidRDefault="009D7423">
            <w:pPr>
              <w:pStyle w:val="normal0"/>
              <w:spacing w:before="1"/>
              <w:ind w:left="400"/>
              <w:rPr>
                <w:rFonts w:ascii="Muli" w:eastAsia="Muli" w:hAnsi="Muli" w:cs="Muli"/>
                <w:sz w:val="20"/>
                <w:szCs w:val="20"/>
              </w:rPr>
            </w:pPr>
            <w:r>
              <w:rPr>
                <w:rFonts w:ascii="Muli" w:eastAsia="Muli" w:hAnsi="Muli" w:cs="Muli"/>
                <w:color w:val="FFFFFF"/>
                <w:sz w:val="20"/>
                <w:szCs w:val="20"/>
              </w:rPr>
              <w:t>Weak</w:t>
            </w:r>
          </w:p>
        </w:tc>
      </w:tr>
      <w:tr w:rsidR="002B129E" w14:paraId="711C6F69" w14:textId="77777777">
        <w:trPr>
          <w:trHeight w:val="620"/>
        </w:trPr>
        <w:tc>
          <w:tcPr>
            <w:tcW w:w="9925" w:type="dxa"/>
            <w:tcMar>
              <w:top w:w="99" w:type="dxa"/>
              <w:left w:w="99" w:type="dxa"/>
              <w:bottom w:w="99" w:type="dxa"/>
              <w:right w:w="99" w:type="dxa"/>
            </w:tcMar>
          </w:tcPr>
          <w:p w14:paraId="72A8E410" w14:textId="77777777" w:rsidR="002B129E" w:rsidRDefault="009D7423">
            <w:pPr>
              <w:pStyle w:val="normal0"/>
              <w:pBdr>
                <w:top w:val="nil"/>
                <w:left w:val="nil"/>
                <w:bottom w:val="nil"/>
                <w:right w:val="nil"/>
                <w:between w:val="nil"/>
              </w:pBdr>
              <w:spacing w:before="1"/>
              <w:ind w:right="305"/>
              <w:rPr>
                <w:rFonts w:ascii="Muli" w:eastAsia="Muli" w:hAnsi="Muli" w:cs="Muli"/>
                <w:color w:val="000000"/>
                <w:sz w:val="20"/>
                <w:szCs w:val="20"/>
              </w:rPr>
            </w:pPr>
            <w:r>
              <w:rPr>
                <w:rFonts w:ascii="Muli" w:eastAsia="Muli" w:hAnsi="Muli" w:cs="Muli"/>
                <w:b/>
                <w:color w:val="000000"/>
                <w:sz w:val="20"/>
                <w:szCs w:val="20"/>
              </w:rPr>
              <w:t xml:space="preserve">F1. Presence of Phenomena/Problems. </w:t>
            </w:r>
            <w:r>
              <w:rPr>
                <w:rFonts w:ascii="Muli" w:eastAsia="Muli" w:hAnsi="Muli" w:cs="Muli"/>
                <w:color w:val="000000"/>
                <w:sz w:val="20"/>
                <w:szCs w:val="20"/>
              </w:rPr>
              <w:t>Identify and provide background information about the phenomena/problems in the unit and how they match the targeted learning goals.</w:t>
            </w:r>
          </w:p>
        </w:tc>
        <w:tc>
          <w:tcPr>
            <w:tcW w:w="1620" w:type="dxa"/>
          </w:tcPr>
          <w:p w14:paraId="54423358"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61" w:type="dxa"/>
          </w:tcPr>
          <w:p w14:paraId="0AB8A8CA"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tcPr>
          <w:p w14:paraId="692FFD7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71FA7B1E" w14:textId="77777777">
        <w:trPr>
          <w:trHeight w:val="400"/>
        </w:trPr>
        <w:tc>
          <w:tcPr>
            <w:tcW w:w="9925" w:type="dxa"/>
            <w:vMerge w:val="restart"/>
            <w:tcBorders>
              <w:bottom w:val="nil"/>
              <w:right w:val="nil"/>
            </w:tcBorders>
            <w:tcMar>
              <w:top w:w="99" w:type="dxa"/>
              <w:left w:w="99" w:type="dxa"/>
              <w:bottom w:w="99" w:type="dxa"/>
              <w:right w:w="99" w:type="dxa"/>
            </w:tcMar>
          </w:tcPr>
          <w:p w14:paraId="6AEB0887" w14:textId="77777777" w:rsidR="002B129E" w:rsidRDefault="009D7423">
            <w:pPr>
              <w:pStyle w:val="normal0"/>
              <w:pBdr>
                <w:top w:val="nil"/>
                <w:left w:val="nil"/>
                <w:bottom w:val="nil"/>
                <w:right w:val="nil"/>
                <w:between w:val="nil"/>
              </w:pBdr>
              <w:spacing w:before="1"/>
              <w:ind w:right="144"/>
              <w:rPr>
                <w:rFonts w:ascii="Muli" w:eastAsia="Muli" w:hAnsi="Muli" w:cs="Muli"/>
                <w:color w:val="000000"/>
                <w:sz w:val="20"/>
                <w:szCs w:val="20"/>
              </w:rPr>
            </w:pPr>
            <w:r>
              <w:rPr>
                <w:rFonts w:ascii="Muli" w:eastAsia="Muli" w:hAnsi="Muli" w:cs="Muli"/>
                <w:b/>
                <w:color w:val="000000"/>
                <w:sz w:val="20"/>
                <w:szCs w:val="20"/>
              </w:rPr>
              <w:t xml:space="preserve">F2. Presence of Three Dimensions. </w:t>
            </w:r>
            <w:r>
              <w:rPr>
                <w:rFonts w:ascii="Muli" w:eastAsia="Muli" w:hAnsi="Muli" w:cs="Muli"/>
                <w:color w:val="000000"/>
                <w:sz w:val="20"/>
                <w:szCs w:val="20"/>
              </w:rPr>
              <w:t>Identify and provide background information about each of the three dimensions in the unit. Also take note of any support for nature of science and engineering, technology, and applications of science.</w:t>
            </w:r>
          </w:p>
          <w:p w14:paraId="55B306C6" w14:textId="77777777" w:rsidR="002B129E" w:rsidRDefault="009D7423">
            <w:pPr>
              <w:pStyle w:val="normal0"/>
              <w:numPr>
                <w:ilvl w:val="0"/>
                <w:numId w:val="25"/>
              </w:numPr>
              <w:spacing w:before="1"/>
              <w:ind w:right="93"/>
              <w:contextualSpacing/>
              <w:rPr>
                <w:rFonts w:ascii="Muli" w:eastAsia="Muli" w:hAnsi="Muli" w:cs="Muli"/>
                <w:sz w:val="20"/>
                <w:szCs w:val="20"/>
              </w:rPr>
            </w:pPr>
            <w:r>
              <w:rPr>
                <w:rFonts w:ascii="Muli" w:eastAsia="Muli" w:hAnsi="Muli" w:cs="Muli"/>
                <w:sz w:val="20"/>
                <w:szCs w:val="20"/>
              </w:rPr>
              <w:t>the SEPs</w:t>
            </w:r>
          </w:p>
          <w:p w14:paraId="5017AAC7" w14:textId="77777777" w:rsidR="002B129E" w:rsidRDefault="009D7423">
            <w:pPr>
              <w:pStyle w:val="normal0"/>
              <w:numPr>
                <w:ilvl w:val="0"/>
                <w:numId w:val="25"/>
              </w:numPr>
              <w:spacing w:before="1"/>
              <w:ind w:right="93"/>
              <w:contextualSpacing/>
              <w:rPr>
                <w:rFonts w:ascii="Muli" w:eastAsia="Muli" w:hAnsi="Muli" w:cs="Muli"/>
                <w:sz w:val="20"/>
                <w:szCs w:val="20"/>
              </w:rPr>
            </w:pPr>
            <w:r>
              <w:rPr>
                <w:rFonts w:ascii="Muli" w:eastAsia="Muli" w:hAnsi="Muli" w:cs="Muli"/>
                <w:sz w:val="20"/>
                <w:szCs w:val="20"/>
              </w:rPr>
              <w:t>the DCIs (including engineering)</w:t>
            </w:r>
          </w:p>
          <w:p w14:paraId="36FF6DC2" w14:textId="77777777" w:rsidR="002B129E" w:rsidRDefault="009D7423">
            <w:pPr>
              <w:pStyle w:val="normal0"/>
              <w:numPr>
                <w:ilvl w:val="0"/>
                <w:numId w:val="25"/>
              </w:numPr>
              <w:spacing w:before="1"/>
              <w:ind w:right="93"/>
              <w:contextualSpacing/>
              <w:rPr>
                <w:rFonts w:ascii="Muli" w:eastAsia="Muli" w:hAnsi="Muli" w:cs="Muli"/>
                <w:sz w:val="20"/>
                <w:szCs w:val="20"/>
              </w:rPr>
            </w:pPr>
            <w:r>
              <w:rPr>
                <w:rFonts w:ascii="Muli" w:eastAsia="Muli" w:hAnsi="Muli" w:cs="Muli"/>
                <w:sz w:val="20"/>
                <w:szCs w:val="20"/>
              </w:rPr>
              <w:t>the CCCs</w:t>
            </w:r>
          </w:p>
          <w:p w14:paraId="002280AD" w14:textId="77777777" w:rsidR="002B129E" w:rsidRDefault="009D7423">
            <w:pPr>
              <w:pStyle w:val="normal0"/>
              <w:numPr>
                <w:ilvl w:val="0"/>
                <w:numId w:val="25"/>
              </w:numPr>
              <w:spacing w:before="11"/>
              <w:ind w:right="93"/>
              <w:contextualSpacing/>
              <w:rPr>
                <w:rFonts w:ascii="Muli" w:eastAsia="Muli" w:hAnsi="Muli" w:cs="Muli"/>
                <w:sz w:val="20"/>
                <w:szCs w:val="20"/>
              </w:rPr>
            </w:pPr>
            <w:r>
              <w:rPr>
                <w:rFonts w:ascii="Muli" w:eastAsia="Muli" w:hAnsi="Muli" w:cs="Muli"/>
                <w:i/>
                <w:sz w:val="20"/>
                <w:szCs w:val="20"/>
              </w:rPr>
              <w:t xml:space="preserve">also note </w:t>
            </w:r>
            <w:r>
              <w:rPr>
                <w:rFonts w:ascii="Muli" w:eastAsia="Muli" w:hAnsi="Muli" w:cs="Muli"/>
                <w:sz w:val="20"/>
                <w:szCs w:val="20"/>
              </w:rPr>
              <w:t>NoS and ETS</w:t>
            </w:r>
          </w:p>
        </w:tc>
        <w:tc>
          <w:tcPr>
            <w:tcW w:w="1620" w:type="dxa"/>
            <w:vMerge w:val="restart"/>
          </w:tcPr>
          <w:p w14:paraId="46AF0E1E"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61" w:type="dxa"/>
            <w:vMerge w:val="restart"/>
          </w:tcPr>
          <w:p w14:paraId="44BD6140"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val="restart"/>
          </w:tcPr>
          <w:p w14:paraId="3048C000"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1EB11D7C" w14:textId="77777777">
        <w:trPr>
          <w:trHeight w:val="400"/>
        </w:trPr>
        <w:tc>
          <w:tcPr>
            <w:tcW w:w="9925" w:type="dxa"/>
            <w:vMerge/>
            <w:tcBorders>
              <w:bottom w:val="nil"/>
              <w:right w:val="nil"/>
            </w:tcBorders>
            <w:tcMar>
              <w:top w:w="99" w:type="dxa"/>
              <w:left w:w="99" w:type="dxa"/>
              <w:bottom w:w="99" w:type="dxa"/>
              <w:right w:w="99" w:type="dxa"/>
            </w:tcMar>
          </w:tcPr>
          <w:p w14:paraId="315213CD" w14:textId="77777777" w:rsidR="002B129E" w:rsidRDefault="002B129E">
            <w:pPr>
              <w:pStyle w:val="normal0"/>
              <w:pBdr>
                <w:top w:val="nil"/>
                <w:left w:val="nil"/>
                <w:bottom w:val="nil"/>
                <w:right w:val="nil"/>
                <w:between w:val="nil"/>
              </w:pBdr>
              <w:rPr>
                <w:color w:val="000000"/>
              </w:rPr>
            </w:pPr>
          </w:p>
        </w:tc>
        <w:tc>
          <w:tcPr>
            <w:tcW w:w="1620" w:type="dxa"/>
            <w:vMerge/>
          </w:tcPr>
          <w:p w14:paraId="34CE7A83"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703EC1AA"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32987AF0"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05452F6A" w14:textId="77777777">
        <w:trPr>
          <w:trHeight w:val="400"/>
        </w:trPr>
        <w:tc>
          <w:tcPr>
            <w:tcW w:w="9925" w:type="dxa"/>
            <w:vMerge/>
            <w:tcBorders>
              <w:bottom w:val="nil"/>
              <w:right w:val="nil"/>
            </w:tcBorders>
            <w:tcMar>
              <w:top w:w="99" w:type="dxa"/>
              <w:left w:w="99" w:type="dxa"/>
              <w:bottom w:w="99" w:type="dxa"/>
              <w:right w:w="99" w:type="dxa"/>
            </w:tcMar>
          </w:tcPr>
          <w:p w14:paraId="0BC4DECA" w14:textId="77777777" w:rsidR="002B129E" w:rsidRDefault="002B129E">
            <w:pPr>
              <w:pStyle w:val="normal0"/>
              <w:pBdr>
                <w:top w:val="nil"/>
                <w:left w:val="nil"/>
                <w:bottom w:val="nil"/>
                <w:right w:val="nil"/>
                <w:between w:val="nil"/>
              </w:pBdr>
              <w:rPr>
                <w:color w:val="000000"/>
              </w:rPr>
            </w:pPr>
          </w:p>
        </w:tc>
        <w:tc>
          <w:tcPr>
            <w:tcW w:w="1620" w:type="dxa"/>
            <w:vMerge/>
          </w:tcPr>
          <w:p w14:paraId="1AA39C77"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11B633B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15EB771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0FDD7321" w14:textId="77777777">
        <w:trPr>
          <w:trHeight w:val="400"/>
        </w:trPr>
        <w:tc>
          <w:tcPr>
            <w:tcW w:w="9925" w:type="dxa"/>
            <w:vMerge/>
            <w:tcBorders>
              <w:top w:val="nil"/>
              <w:right w:val="nil"/>
            </w:tcBorders>
            <w:tcMar>
              <w:top w:w="99" w:type="dxa"/>
              <w:left w:w="99" w:type="dxa"/>
              <w:bottom w:w="99" w:type="dxa"/>
              <w:right w:w="99" w:type="dxa"/>
            </w:tcMar>
          </w:tcPr>
          <w:p w14:paraId="4A389880"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620" w:type="dxa"/>
            <w:vMerge/>
          </w:tcPr>
          <w:p w14:paraId="783F39AB"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2C9446CA"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vMerge/>
          </w:tcPr>
          <w:p w14:paraId="4F6C7BFD"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56237F49" w14:textId="77777777">
        <w:trPr>
          <w:trHeight w:val="440"/>
        </w:trPr>
        <w:tc>
          <w:tcPr>
            <w:tcW w:w="9925" w:type="dxa"/>
            <w:tcMar>
              <w:top w:w="99" w:type="dxa"/>
              <w:left w:w="99" w:type="dxa"/>
              <w:bottom w:w="99" w:type="dxa"/>
              <w:right w:w="99" w:type="dxa"/>
            </w:tcMar>
          </w:tcPr>
          <w:p w14:paraId="3D9660C7" w14:textId="77777777" w:rsidR="002B129E" w:rsidRDefault="009D7423">
            <w:pPr>
              <w:pStyle w:val="normal0"/>
              <w:pBdr>
                <w:top w:val="nil"/>
                <w:left w:val="nil"/>
                <w:bottom w:val="nil"/>
                <w:right w:val="nil"/>
                <w:between w:val="nil"/>
              </w:pBdr>
              <w:spacing w:before="1"/>
              <w:rPr>
                <w:rFonts w:ascii="Muli" w:eastAsia="Muli" w:hAnsi="Muli" w:cs="Muli"/>
                <w:color w:val="000000"/>
                <w:sz w:val="20"/>
                <w:szCs w:val="20"/>
              </w:rPr>
            </w:pPr>
            <w:r>
              <w:rPr>
                <w:rFonts w:ascii="Muli" w:eastAsia="Muli" w:hAnsi="Muli" w:cs="Muli"/>
                <w:b/>
                <w:color w:val="000000"/>
                <w:sz w:val="20"/>
                <w:szCs w:val="20"/>
              </w:rPr>
              <w:t xml:space="preserve">F3. Presence of Logical Sequence. </w:t>
            </w:r>
            <w:r>
              <w:rPr>
                <w:rFonts w:ascii="Muli" w:eastAsia="Muli" w:hAnsi="Muli" w:cs="Muli"/>
                <w:color w:val="000000"/>
                <w:sz w:val="20"/>
                <w:szCs w:val="20"/>
              </w:rPr>
              <w:t>Identify and provide background information on the sequence of learning in the unit.</w:t>
            </w:r>
          </w:p>
        </w:tc>
        <w:tc>
          <w:tcPr>
            <w:tcW w:w="1620" w:type="dxa"/>
          </w:tcPr>
          <w:p w14:paraId="4D0B7714"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61" w:type="dxa"/>
          </w:tcPr>
          <w:p w14:paraId="4BE40A5D"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61" w:type="dxa"/>
          </w:tcPr>
          <w:p w14:paraId="066E724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bl>
    <w:p w14:paraId="2AD6FDC5"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14D237C6"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5FB26C29"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5AEC5ACD"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3864589E"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7CA87FAF"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p w14:paraId="6737580E" w14:textId="77777777" w:rsidR="009D7423" w:rsidRDefault="009D7423">
      <w:pPr>
        <w:pStyle w:val="normal0"/>
        <w:pBdr>
          <w:top w:val="nil"/>
          <w:left w:val="nil"/>
          <w:bottom w:val="nil"/>
          <w:right w:val="nil"/>
          <w:between w:val="nil"/>
        </w:pBdr>
        <w:spacing w:line="276" w:lineRule="auto"/>
        <w:rPr>
          <w:rFonts w:ascii="Muli" w:eastAsia="Muli" w:hAnsi="Muli" w:cs="Muli"/>
          <w:sz w:val="20"/>
          <w:szCs w:val="20"/>
        </w:rPr>
      </w:pPr>
    </w:p>
    <w:p w14:paraId="5139F81D" w14:textId="77777777" w:rsidR="009D7423" w:rsidRDefault="009D7423">
      <w:pPr>
        <w:pStyle w:val="normal0"/>
        <w:pBdr>
          <w:top w:val="nil"/>
          <w:left w:val="nil"/>
          <w:bottom w:val="nil"/>
          <w:right w:val="nil"/>
          <w:between w:val="nil"/>
        </w:pBdr>
        <w:spacing w:line="276" w:lineRule="auto"/>
        <w:rPr>
          <w:rFonts w:ascii="Muli" w:eastAsia="Muli" w:hAnsi="Muli" w:cs="Muli"/>
          <w:sz w:val="20"/>
          <w:szCs w:val="20"/>
        </w:rPr>
      </w:pPr>
    </w:p>
    <w:p w14:paraId="37F04102" w14:textId="77777777" w:rsidR="009D7423" w:rsidRDefault="009D7423">
      <w:pPr>
        <w:pStyle w:val="normal0"/>
        <w:pBdr>
          <w:top w:val="nil"/>
          <w:left w:val="nil"/>
          <w:bottom w:val="nil"/>
          <w:right w:val="nil"/>
          <w:between w:val="nil"/>
        </w:pBdr>
        <w:spacing w:line="276" w:lineRule="auto"/>
        <w:rPr>
          <w:rFonts w:ascii="Muli" w:eastAsia="Muli" w:hAnsi="Muli" w:cs="Muli"/>
          <w:sz w:val="20"/>
          <w:szCs w:val="20"/>
        </w:rPr>
      </w:pPr>
    </w:p>
    <w:tbl>
      <w:tblPr>
        <w:tblStyle w:val="a1"/>
        <w:tblW w:w="1420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5"/>
        <w:gridCol w:w="5190"/>
      </w:tblGrid>
      <w:tr w:rsidR="002B129E" w14:paraId="2DA61DEB" w14:textId="77777777">
        <w:trPr>
          <w:trHeight w:val="320"/>
        </w:trPr>
        <w:tc>
          <w:tcPr>
            <w:tcW w:w="14205" w:type="dxa"/>
            <w:gridSpan w:val="2"/>
            <w:shd w:val="clear" w:color="auto" w:fill="FF126D"/>
            <w:tcMar>
              <w:top w:w="99" w:type="dxa"/>
              <w:left w:w="99" w:type="dxa"/>
              <w:bottom w:w="99" w:type="dxa"/>
              <w:right w:w="99" w:type="dxa"/>
            </w:tcMar>
          </w:tcPr>
          <w:p w14:paraId="16FAC6B7" w14:textId="77777777" w:rsidR="002B129E" w:rsidRDefault="009D7423">
            <w:pPr>
              <w:pStyle w:val="normal0"/>
              <w:spacing w:before="1"/>
              <w:rPr>
                <w:rFonts w:ascii="Muli" w:eastAsia="Muli" w:hAnsi="Muli" w:cs="Muli"/>
                <w:sz w:val="20"/>
                <w:szCs w:val="20"/>
              </w:rPr>
            </w:pPr>
            <w:r>
              <w:rPr>
                <w:rFonts w:ascii="Muli" w:eastAsia="Muli" w:hAnsi="Muli" w:cs="Muli"/>
                <w:color w:val="FFFFFF"/>
                <w:sz w:val="20"/>
                <w:szCs w:val="20"/>
              </w:rPr>
              <w:t>Strengths related to these Teacher Supports</w:t>
            </w:r>
          </w:p>
        </w:tc>
      </w:tr>
      <w:tr w:rsidR="002B129E" w14:paraId="30C0A493" w14:textId="77777777">
        <w:trPr>
          <w:trHeight w:val="760"/>
        </w:trPr>
        <w:tc>
          <w:tcPr>
            <w:tcW w:w="14205" w:type="dxa"/>
            <w:gridSpan w:val="2"/>
            <w:shd w:val="clear" w:color="auto" w:fill="CCCCCC"/>
            <w:tcMar>
              <w:top w:w="99" w:type="dxa"/>
              <w:left w:w="99" w:type="dxa"/>
              <w:bottom w:w="99" w:type="dxa"/>
              <w:right w:w="99" w:type="dxa"/>
            </w:tcMar>
          </w:tcPr>
          <w:p w14:paraId="58D68621" w14:textId="77777777" w:rsidR="002B129E" w:rsidRDefault="009D7423">
            <w:pPr>
              <w:pStyle w:val="normal0"/>
              <w:spacing w:before="1"/>
              <w:ind w:right="305"/>
              <w:rPr>
                <w:rFonts w:ascii="Muli" w:eastAsia="Muli" w:hAnsi="Muli" w:cs="Muli"/>
                <w:sz w:val="20"/>
                <w:szCs w:val="20"/>
              </w:rPr>
            </w:pPr>
            <w:r>
              <w:rPr>
                <w:rFonts w:ascii="Muli" w:eastAsia="Muli" w:hAnsi="Muli" w:cs="Muli"/>
                <w:b/>
                <w:sz w:val="20"/>
                <w:szCs w:val="20"/>
              </w:rPr>
              <w:t>F1. Presence of Phenomena/Problems.</w:t>
            </w:r>
          </w:p>
          <w:p w14:paraId="38E47DF3" w14:textId="77777777" w:rsidR="002B129E" w:rsidRDefault="009D7423">
            <w:pPr>
              <w:pStyle w:val="normal0"/>
              <w:rPr>
                <w:rFonts w:ascii="Muli" w:eastAsia="Muli" w:hAnsi="Muli" w:cs="Muli"/>
                <w:color w:val="FFFFFF"/>
                <w:sz w:val="20"/>
                <w:szCs w:val="20"/>
              </w:rPr>
            </w:pPr>
            <w:r>
              <w:rPr>
                <w:rFonts w:ascii="Muli" w:eastAsia="Muli" w:hAnsi="Muli" w:cs="Muli"/>
                <w:sz w:val="20"/>
                <w:szCs w:val="20"/>
              </w:rPr>
              <w:t>The module is strong at identifying and providing background information about the phenomena/problems in the unit and how they match the targeted learning goals.</w:t>
            </w:r>
          </w:p>
        </w:tc>
      </w:tr>
      <w:tr w:rsidR="002B129E" w14:paraId="09B88210" w14:textId="77777777">
        <w:trPr>
          <w:trHeight w:val="760"/>
        </w:trPr>
        <w:tc>
          <w:tcPr>
            <w:tcW w:w="9015" w:type="dxa"/>
            <w:shd w:val="clear" w:color="auto" w:fill="FFFFFF"/>
            <w:tcMar>
              <w:top w:w="99" w:type="dxa"/>
              <w:left w:w="99" w:type="dxa"/>
              <w:bottom w:w="99" w:type="dxa"/>
              <w:right w:w="99" w:type="dxa"/>
            </w:tcMar>
          </w:tcPr>
          <w:p w14:paraId="69767850"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Evidence</w:t>
            </w:r>
          </w:p>
          <w:p w14:paraId="00F277E6" w14:textId="77777777" w:rsidR="002B129E" w:rsidRDefault="009D7423">
            <w:pPr>
              <w:pStyle w:val="normal0"/>
              <w:numPr>
                <w:ilvl w:val="0"/>
                <w:numId w:val="23"/>
              </w:numPr>
              <w:rPr>
                <w:rFonts w:ascii="Muli" w:eastAsia="Muli" w:hAnsi="Muli" w:cs="Muli"/>
                <w:sz w:val="20"/>
                <w:szCs w:val="20"/>
              </w:rPr>
            </w:pPr>
            <w:r>
              <w:rPr>
                <w:rFonts w:ascii="Muli" w:eastAsia="Muli" w:hAnsi="Muli" w:cs="Muli"/>
                <w:sz w:val="20"/>
                <w:szCs w:val="20"/>
              </w:rPr>
              <w:t xml:space="preserve">A </w:t>
            </w:r>
            <w:r>
              <w:rPr>
                <w:rFonts w:ascii="Muli" w:eastAsia="Muli" w:hAnsi="Muli" w:cs="Muli"/>
                <w:b/>
                <w:color w:val="FF126D"/>
                <w:sz w:val="20"/>
                <w:szCs w:val="20"/>
              </w:rPr>
              <w:t>Module Introduction (TE p. i)</w:t>
            </w:r>
            <w:r>
              <w:rPr>
                <w:rFonts w:ascii="Muli" w:eastAsia="Muli" w:hAnsi="Muli" w:cs="Muli"/>
                <w:sz w:val="20"/>
                <w:szCs w:val="20"/>
              </w:rPr>
              <w:t xml:space="preserve"> online and in pr</w:t>
            </w:r>
            <w:r>
              <w:rPr>
                <w:rFonts w:ascii="Muli" w:eastAsia="Muli" w:hAnsi="Muli" w:cs="Muli"/>
                <w:sz w:val="20"/>
                <w:szCs w:val="20"/>
              </w:rPr>
              <w:t xml:space="preserve">int sets out at high level how students will solve the Module Phenomenon. </w:t>
            </w:r>
          </w:p>
        </w:tc>
        <w:tc>
          <w:tcPr>
            <w:tcW w:w="5190" w:type="dxa"/>
            <w:shd w:val="clear" w:color="auto" w:fill="FFFFFF"/>
            <w:tcMar>
              <w:top w:w="99" w:type="dxa"/>
              <w:left w:w="99" w:type="dxa"/>
              <w:bottom w:w="99" w:type="dxa"/>
              <w:right w:w="99" w:type="dxa"/>
            </w:tcMar>
          </w:tcPr>
          <w:p w14:paraId="70EE5611" w14:textId="77777777" w:rsidR="002B129E" w:rsidRDefault="009D7423">
            <w:pPr>
              <w:pStyle w:val="normal0"/>
              <w:ind w:right="305"/>
              <w:rPr>
                <w:rFonts w:ascii="Muli" w:eastAsia="Muli" w:hAnsi="Muli" w:cs="Muli"/>
                <w:b/>
                <w:sz w:val="20"/>
                <w:szCs w:val="20"/>
              </w:rPr>
            </w:pPr>
            <w:r>
              <w:rPr>
                <w:rFonts w:ascii="Muli" w:eastAsia="Muli" w:hAnsi="Muli" w:cs="Muli"/>
                <w:b/>
                <w:noProof/>
                <w:sz w:val="20"/>
                <w:szCs w:val="20"/>
              </w:rPr>
              <w:drawing>
                <wp:inline distT="114300" distB="114300" distL="114300" distR="114300" wp14:anchorId="3E3E7969" wp14:editId="7DC48AD5">
                  <wp:extent cx="2744787" cy="1916004"/>
                  <wp:effectExtent l="12700" t="12700" r="12700" b="127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b="18472"/>
                          <a:stretch>
                            <a:fillRect/>
                          </a:stretch>
                        </pic:blipFill>
                        <pic:spPr>
                          <a:xfrm>
                            <a:off x="0" y="0"/>
                            <a:ext cx="2744787" cy="1916004"/>
                          </a:xfrm>
                          <a:prstGeom prst="rect">
                            <a:avLst/>
                          </a:prstGeom>
                          <a:ln w="12700">
                            <a:solidFill>
                              <a:srgbClr val="CCCCCC"/>
                            </a:solidFill>
                            <a:prstDash val="solid"/>
                          </a:ln>
                        </pic:spPr>
                      </pic:pic>
                    </a:graphicData>
                  </a:graphic>
                </wp:inline>
              </w:drawing>
            </w:r>
          </w:p>
          <w:p w14:paraId="0268CE21"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Module Introduction TE p. i</w:t>
            </w:r>
          </w:p>
        </w:tc>
      </w:tr>
      <w:tr w:rsidR="002B129E" w14:paraId="13F03386" w14:textId="77777777">
        <w:trPr>
          <w:trHeight w:val="760"/>
        </w:trPr>
        <w:tc>
          <w:tcPr>
            <w:tcW w:w="9015" w:type="dxa"/>
            <w:shd w:val="clear" w:color="auto" w:fill="FFFFFF"/>
            <w:tcMar>
              <w:top w:w="99" w:type="dxa"/>
              <w:left w:w="99" w:type="dxa"/>
              <w:bottom w:w="99" w:type="dxa"/>
              <w:right w:w="99" w:type="dxa"/>
            </w:tcMar>
          </w:tcPr>
          <w:p w14:paraId="06624A87" w14:textId="77777777" w:rsidR="002B129E" w:rsidRDefault="009D7423">
            <w:pPr>
              <w:pStyle w:val="normal0"/>
              <w:numPr>
                <w:ilvl w:val="0"/>
                <w:numId w:val="23"/>
              </w:numPr>
              <w:rPr>
                <w:rFonts w:ascii="Muli" w:eastAsia="Muli" w:hAnsi="Muli" w:cs="Muli"/>
                <w:sz w:val="20"/>
                <w:szCs w:val="20"/>
              </w:rPr>
            </w:pPr>
            <w:r>
              <w:rPr>
                <w:rFonts w:ascii="Muli" w:eastAsia="Muli" w:hAnsi="Muli" w:cs="Muli"/>
                <w:b/>
                <w:color w:val="FF126D"/>
                <w:sz w:val="20"/>
                <w:szCs w:val="20"/>
              </w:rPr>
              <w:t>Teacher Background Information</w:t>
            </w:r>
            <w:r>
              <w:rPr>
                <w:rFonts w:ascii="Muli" w:eastAsia="Muli" w:hAnsi="Muli" w:cs="Muli"/>
                <w:sz w:val="20"/>
                <w:szCs w:val="20"/>
              </w:rPr>
              <w:t xml:space="preserve"> on the phenomena/problems and DCIs addressed in every Driving Question (DQ) is explained simply in Q&amp;</w:t>
            </w:r>
            <w:r>
              <w:rPr>
                <w:rFonts w:ascii="Muli" w:eastAsia="Muli" w:hAnsi="Muli" w:cs="Muli"/>
                <w:sz w:val="20"/>
                <w:szCs w:val="20"/>
              </w:rPr>
              <w:t xml:space="preserve">A format with supporting diagrams and visuals. A glossary of scientific terms is also provided. For example, DQ2 provides background information on gravity, engineers, and how we can make marbles move in certain ways, while DQ3 explains the design process </w:t>
            </w:r>
            <w:r>
              <w:rPr>
                <w:rFonts w:ascii="Muli" w:eastAsia="Muli" w:hAnsi="Muli" w:cs="Muli"/>
                <w:sz w:val="20"/>
                <w:szCs w:val="20"/>
              </w:rPr>
              <w:t>and how to build a good marble run.</w:t>
            </w:r>
          </w:p>
        </w:tc>
        <w:tc>
          <w:tcPr>
            <w:tcW w:w="5190" w:type="dxa"/>
            <w:shd w:val="clear" w:color="auto" w:fill="FFFFFF"/>
            <w:tcMar>
              <w:top w:w="99" w:type="dxa"/>
              <w:left w:w="99" w:type="dxa"/>
              <w:bottom w:w="99" w:type="dxa"/>
              <w:right w:w="99" w:type="dxa"/>
            </w:tcMar>
          </w:tcPr>
          <w:p w14:paraId="03D1D5AF" w14:textId="77777777" w:rsidR="002B129E" w:rsidRDefault="009D7423">
            <w:pPr>
              <w:pStyle w:val="normal0"/>
              <w:ind w:right="305"/>
              <w:rPr>
                <w:rFonts w:ascii="Muli" w:eastAsia="Muli" w:hAnsi="Muli" w:cs="Muli"/>
                <w:b/>
                <w:sz w:val="20"/>
                <w:szCs w:val="20"/>
              </w:rPr>
            </w:pPr>
            <w:r>
              <w:rPr>
                <w:rFonts w:ascii="Muli" w:eastAsia="Muli" w:hAnsi="Muli" w:cs="Muli"/>
                <w:b/>
                <w:noProof/>
                <w:sz w:val="20"/>
                <w:szCs w:val="20"/>
              </w:rPr>
              <w:drawing>
                <wp:inline distT="114300" distB="114300" distL="114300" distR="114300" wp14:anchorId="780EF779" wp14:editId="7138E4F3">
                  <wp:extent cx="2773362" cy="2848544"/>
                  <wp:effectExtent l="12700" t="12700" r="12700" b="127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773362" cy="2848544"/>
                          </a:xfrm>
                          <a:prstGeom prst="rect">
                            <a:avLst/>
                          </a:prstGeom>
                          <a:ln w="12700">
                            <a:solidFill>
                              <a:srgbClr val="CCCCCC"/>
                            </a:solidFill>
                            <a:prstDash val="solid"/>
                          </a:ln>
                        </pic:spPr>
                      </pic:pic>
                    </a:graphicData>
                  </a:graphic>
                </wp:inline>
              </w:drawing>
            </w:r>
          </w:p>
          <w:p w14:paraId="23FF4B15"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lastRenderedPageBreak/>
              <w:t>Teacher Background Information</w:t>
            </w:r>
          </w:p>
        </w:tc>
      </w:tr>
      <w:tr w:rsidR="002B129E" w14:paraId="636DB98D" w14:textId="77777777">
        <w:trPr>
          <w:trHeight w:val="760"/>
        </w:trPr>
        <w:tc>
          <w:tcPr>
            <w:tcW w:w="14205" w:type="dxa"/>
            <w:gridSpan w:val="2"/>
            <w:shd w:val="clear" w:color="auto" w:fill="CCCCCC"/>
            <w:tcMar>
              <w:top w:w="99" w:type="dxa"/>
              <w:left w:w="99" w:type="dxa"/>
              <w:bottom w:w="99" w:type="dxa"/>
              <w:right w:w="99" w:type="dxa"/>
            </w:tcMar>
          </w:tcPr>
          <w:p w14:paraId="00F54A2D" w14:textId="77777777" w:rsidR="002B129E" w:rsidRDefault="009D7423">
            <w:pPr>
              <w:pStyle w:val="normal0"/>
              <w:rPr>
                <w:rFonts w:ascii="Muli" w:eastAsia="Muli" w:hAnsi="Muli" w:cs="Muli"/>
                <w:b/>
                <w:sz w:val="20"/>
                <w:szCs w:val="20"/>
              </w:rPr>
            </w:pPr>
            <w:r>
              <w:rPr>
                <w:rFonts w:ascii="Muli" w:eastAsia="Muli" w:hAnsi="Muli" w:cs="Muli"/>
                <w:b/>
                <w:sz w:val="20"/>
                <w:szCs w:val="20"/>
              </w:rPr>
              <w:lastRenderedPageBreak/>
              <w:t>F2. Presence of Three Dimensions.</w:t>
            </w:r>
          </w:p>
          <w:p w14:paraId="5D2B5BCD" w14:textId="77777777" w:rsidR="002B129E" w:rsidRDefault="009D7423">
            <w:pPr>
              <w:pStyle w:val="normal0"/>
              <w:spacing w:before="1"/>
              <w:ind w:right="144"/>
              <w:rPr>
                <w:rFonts w:ascii="Muli" w:eastAsia="Muli" w:hAnsi="Muli" w:cs="Muli"/>
                <w:b/>
                <w:sz w:val="20"/>
                <w:szCs w:val="20"/>
              </w:rPr>
            </w:pPr>
            <w:r>
              <w:rPr>
                <w:rFonts w:ascii="Muli" w:eastAsia="Muli" w:hAnsi="Muli" w:cs="Muli"/>
                <w:sz w:val="20"/>
                <w:szCs w:val="20"/>
              </w:rPr>
              <w:t>The module is strong at identifying and providing Teacher Background Information about each of the three dimensions in the unit. It also supports opport</w:t>
            </w:r>
            <w:r>
              <w:rPr>
                <w:rFonts w:ascii="Muli" w:eastAsia="Muli" w:hAnsi="Muli" w:cs="Muli"/>
                <w:sz w:val="20"/>
                <w:szCs w:val="20"/>
              </w:rPr>
              <w:t>unities to connect to the Nature of Science and Engineering, Technology, and Applications of Science.</w:t>
            </w:r>
          </w:p>
        </w:tc>
      </w:tr>
      <w:tr w:rsidR="002B129E" w14:paraId="7532B929" w14:textId="77777777">
        <w:trPr>
          <w:trHeight w:val="3700"/>
        </w:trPr>
        <w:tc>
          <w:tcPr>
            <w:tcW w:w="9015" w:type="dxa"/>
            <w:shd w:val="clear" w:color="auto" w:fill="FFFFFF"/>
            <w:tcMar>
              <w:top w:w="99" w:type="dxa"/>
              <w:left w:w="99" w:type="dxa"/>
              <w:bottom w:w="99" w:type="dxa"/>
              <w:right w:w="99" w:type="dxa"/>
            </w:tcMar>
          </w:tcPr>
          <w:p w14:paraId="03743D67" w14:textId="77777777" w:rsidR="002B129E" w:rsidRDefault="009D7423">
            <w:pPr>
              <w:pStyle w:val="normal0"/>
              <w:rPr>
                <w:rFonts w:ascii="Muli" w:eastAsia="Muli" w:hAnsi="Muli" w:cs="Muli"/>
                <w:color w:val="FF126D"/>
                <w:sz w:val="20"/>
                <w:szCs w:val="20"/>
              </w:rPr>
            </w:pPr>
            <w:r>
              <w:rPr>
                <w:rFonts w:ascii="Muli" w:eastAsia="Muli" w:hAnsi="Muli" w:cs="Muli"/>
                <w:b/>
                <w:color w:val="FF126D"/>
                <w:sz w:val="20"/>
                <w:szCs w:val="20"/>
              </w:rPr>
              <w:t>Evidence</w:t>
            </w:r>
            <w:r>
              <w:rPr>
                <w:rFonts w:ascii="Muli" w:eastAsia="Muli" w:hAnsi="Muli" w:cs="Muli"/>
                <w:color w:val="FF126D"/>
                <w:sz w:val="20"/>
                <w:szCs w:val="20"/>
              </w:rPr>
              <w:t xml:space="preserve"> </w:t>
            </w:r>
          </w:p>
          <w:p w14:paraId="1D645077" w14:textId="77777777" w:rsidR="002B129E" w:rsidRDefault="009D7423">
            <w:pPr>
              <w:pStyle w:val="normal0"/>
              <w:numPr>
                <w:ilvl w:val="0"/>
                <w:numId w:val="16"/>
              </w:numPr>
              <w:rPr>
                <w:rFonts w:ascii="Muli" w:eastAsia="Muli" w:hAnsi="Muli" w:cs="Muli"/>
                <w:sz w:val="20"/>
                <w:szCs w:val="20"/>
              </w:rPr>
            </w:pPr>
            <w:r>
              <w:rPr>
                <w:rFonts w:ascii="Muli" w:eastAsia="Muli" w:hAnsi="Muli" w:cs="Muli"/>
                <w:sz w:val="20"/>
                <w:szCs w:val="20"/>
              </w:rPr>
              <w:t xml:space="preserve"> A digital Guide to SEPs and CCCs provides a clear explanation for each practice and concept with guidance on what these skills should look like in a Kindergarten classroom, with specific reference to how students plan and carry out investigations (SEP-3) </w:t>
            </w:r>
            <w:r>
              <w:rPr>
                <w:rFonts w:ascii="Muli" w:eastAsia="Muli" w:hAnsi="Muli" w:cs="Muli"/>
                <w:sz w:val="20"/>
                <w:szCs w:val="20"/>
              </w:rPr>
              <w:t xml:space="preserve">and construct explanations and design solutions (SEP-6) in Grade K Module 2. </w:t>
            </w:r>
          </w:p>
          <w:p w14:paraId="2C6FB9FA" w14:textId="77777777" w:rsidR="002B129E" w:rsidRDefault="009D7423">
            <w:pPr>
              <w:pStyle w:val="normal0"/>
              <w:numPr>
                <w:ilvl w:val="0"/>
                <w:numId w:val="16"/>
              </w:numPr>
              <w:rPr>
                <w:rFonts w:ascii="Muli" w:eastAsia="Muli" w:hAnsi="Muli" w:cs="Muli"/>
                <w:sz w:val="20"/>
                <w:szCs w:val="20"/>
              </w:rPr>
            </w:pPr>
            <w:r>
              <w:rPr>
                <w:rFonts w:ascii="Muli" w:eastAsia="Muli" w:hAnsi="Muli" w:cs="Muli"/>
                <w:sz w:val="20"/>
                <w:szCs w:val="20"/>
              </w:rPr>
              <w:t>Additional module specific support is frequently given at point of use in the instructional materials for all dimensions. For example, in DQ1L2, support is given on connecting th</w:t>
            </w:r>
            <w:r>
              <w:rPr>
                <w:rFonts w:ascii="Muli" w:eastAsia="Muli" w:hAnsi="Muli" w:cs="Muli"/>
                <w:sz w:val="20"/>
                <w:szCs w:val="20"/>
              </w:rPr>
              <w:t xml:space="preserve">e learning activity to SEP-5 (Using Mathematics and Computational Thinking) </w:t>
            </w:r>
            <w:r>
              <w:rPr>
                <w:rFonts w:ascii="Muli" w:eastAsia="Muli" w:hAnsi="Muli" w:cs="Muli"/>
                <w:b/>
                <w:color w:val="FF126D"/>
                <w:sz w:val="20"/>
                <w:szCs w:val="20"/>
              </w:rPr>
              <w:t>(DQ1L2 Connect TE p. 18)</w:t>
            </w:r>
            <w:r>
              <w:rPr>
                <w:rFonts w:ascii="Muli" w:eastAsia="Muli" w:hAnsi="Muli" w:cs="Muli"/>
                <w:sz w:val="20"/>
                <w:szCs w:val="20"/>
              </w:rPr>
              <w:t xml:space="preserve">. </w:t>
            </w:r>
          </w:p>
        </w:tc>
        <w:tc>
          <w:tcPr>
            <w:tcW w:w="5190" w:type="dxa"/>
            <w:shd w:val="clear" w:color="auto" w:fill="FFFFFF"/>
            <w:tcMar>
              <w:top w:w="99" w:type="dxa"/>
              <w:left w:w="99" w:type="dxa"/>
              <w:bottom w:w="99" w:type="dxa"/>
              <w:right w:w="99" w:type="dxa"/>
            </w:tcMar>
          </w:tcPr>
          <w:p w14:paraId="553E7001" w14:textId="77777777" w:rsidR="002B129E" w:rsidRDefault="009D7423">
            <w:pPr>
              <w:pStyle w:val="normal0"/>
              <w:ind w:right="305"/>
              <w:rPr>
                <w:rFonts w:ascii="Muli" w:eastAsia="Muli" w:hAnsi="Muli" w:cs="Muli"/>
                <w:b/>
                <w:sz w:val="20"/>
                <w:szCs w:val="20"/>
              </w:rPr>
            </w:pPr>
            <w:r>
              <w:rPr>
                <w:rFonts w:ascii="Muli" w:eastAsia="Muli" w:hAnsi="Muli" w:cs="Muli"/>
                <w:b/>
                <w:noProof/>
                <w:sz w:val="20"/>
                <w:szCs w:val="20"/>
              </w:rPr>
              <w:drawing>
                <wp:inline distT="114300" distB="114300" distL="114300" distR="114300" wp14:anchorId="2EB43231" wp14:editId="51F65BA4">
                  <wp:extent cx="3063875" cy="2009775"/>
                  <wp:effectExtent l="12700" t="12700" r="12700" b="127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r="3112"/>
                          <a:stretch>
                            <a:fillRect/>
                          </a:stretch>
                        </pic:blipFill>
                        <pic:spPr>
                          <a:xfrm>
                            <a:off x="0" y="0"/>
                            <a:ext cx="3063875" cy="2009775"/>
                          </a:xfrm>
                          <a:prstGeom prst="rect">
                            <a:avLst/>
                          </a:prstGeom>
                          <a:ln w="12700">
                            <a:solidFill>
                              <a:srgbClr val="CCCCCC"/>
                            </a:solidFill>
                            <a:prstDash val="solid"/>
                          </a:ln>
                        </pic:spPr>
                      </pic:pic>
                    </a:graphicData>
                  </a:graphic>
                </wp:inline>
              </w:drawing>
            </w:r>
          </w:p>
          <w:p w14:paraId="575BBB71"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DQ1L2 Connect TE p. 18</w:t>
            </w:r>
          </w:p>
        </w:tc>
      </w:tr>
      <w:tr w:rsidR="002B129E" w14:paraId="38D5265F" w14:textId="77777777">
        <w:trPr>
          <w:trHeight w:val="540"/>
        </w:trPr>
        <w:tc>
          <w:tcPr>
            <w:tcW w:w="14205" w:type="dxa"/>
            <w:gridSpan w:val="2"/>
            <w:shd w:val="clear" w:color="auto" w:fill="CCCCCC"/>
            <w:tcMar>
              <w:top w:w="99" w:type="dxa"/>
              <w:left w:w="99" w:type="dxa"/>
              <w:bottom w:w="99" w:type="dxa"/>
              <w:right w:w="99" w:type="dxa"/>
            </w:tcMar>
          </w:tcPr>
          <w:p w14:paraId="35F6554D" w14:textId="77777777" w:rsidR="002B129E" w:rsidRDefault="009D7423">
            <w:pPr>
              <w:pStyle w:val="normal0"/>
              <w:rPr>
                <w:rFonts w:ascii="Muli" w:eastAsia="Muli" w:hAnsi="Muli" w:cs="Muli"/>
                <w:b/>
                <w:sz w:val="20"/>
                <w:szCs w:val="20"/>
              </w:rPr>
            </w:pPr>
            <w:r>
              <w:rPr>
                <w:rFonts w:ascii="Muli" w:eastAsia="Muli" w:hAnsi="Muli" w:cs="Muli"/>
                <w:b/>
                <w:sz w:val="20"/>
                <w:szCs w:val="20"/>
              </w:rPr>
              <w:t>F3. Presence of Logical Sequence.</w:t>
            </w:r>
          </w:p>
          <w:p w14:paraId="46334B1B" w14:textId="77777777" w:rsidR="002B129E" w:rsidRDefault="009D7423">
            <w:pPr>
              <w:pStyle w:val="normal0"/>
              <w:spacing w:before="1"/>
              <w:rPr>
                <w:rFonts w:ascii="Muli" w:eastAsia="Muli" w:hAnsi="Muli" w:cs="Muli"/>
                <w:b/>
                <w:sz w:val="20"/>
                <w:szCs w:val="20"/>
              </w:rPr>
            </w:pPr>
            <w:r>
              <w:rPr>
                <w:rFonts w:ascii="Muli" w:eastAsia="Muli" w:hAnsi="Muli" w:cs="Muli"/>
                <w:sz w:val="20"/>
                <w:szCs w:val="20"/>
              </w:rPr>
              <w:t>The module is strong at Identifying and providing background information on the sequence of learning in the unit.</w:t>
            </w:r>
          </w:p>
        </w:tc>
      </w:tr>
      <w:tr w:rsidR="002B129E" w14:paraId="119CCD89" w14:textId="77777777">
        <w:trPr>
          <w:trHeight w:val="3240"/>
        </w:trPr>
        <w:tc>
          <w:tcPr>
            <w:tcW w:w="9015" w:type="dxa"/>
            <w:shd w:val="clear" w:color="auto" w:fill="FFFFFF"/>
            <w:tcMar>
              <w:top w:w="99" w:type="dxa"/>
              <w:left w:w="99" w:type="dxa"/>
              <w:bottom w:w="99" w:type="dxa"/>
              <w:right w:w="99" w:type="dxa"/>
            </w:tcMar>
          </w:tcPr>
          <w:p w14:paraId="642DE300"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Evidence</w:t>
            </w:r>
          </w:p>
          <w:p w14:paraId="4F6A64B2" w14:textId="77777777" w:rsidR="002B129E" w:rsidRDefault="009D7423">
            <w:pPr>
              <w:pStyle w:val="normal0"/>
              <w:numPr>
                <w:ilvl w:val="0"/>
                <w:numId w:val="12"/>
              </w:numPr>
              <w:rPr>
                <w:rFonts w:ascii="Muli" w:eastAsia="Muli" w:hAnsi="Muli" w:cs="Muli"/>
                <w:sz w:val="20"/>
                <w:szCs w:val="20"/>
              </w:rPr>
            </w:pPr>
            <w:r>
              <w:rPr>
                <w:rFonts w:ascii="Muli" w:eastAsia="Muli" w:hAnsi="Muli" w:cs="Muli"/>
                <w:sz w:val="20"/>
                <w:szCs w:val="20"/>
              </w:rPr>
              <w:t xml:space="preserve">A </w:t>
            </w:r>
            <w:r>
              <w:rPr>
                <w:rFonts w:ascii="Muli" w:eastAsia="Muli" w:hAnsi="Muli" w:cs="Muli"/>
                <w:b/>
                <w:color w:val="FF126D"/>
                <w:sz w:val="20"/>
                <w:szCs w:val="20"/>
              </w:rPr>
              <w:t>Module Introduction video</w:t>
            </w:r>
            <w:r>
              <w:rPr>
                <w:rFonts w:ascii="Muli" w:eastAsia="Muli" w:hAnsi="Muli" w:cs="Muli"/>
                <w:sz w:val="20"/>
                <w:szCs w:val="20"/>
              </w:rPr>
              <w:t xml:space="preserve"> provides the teacher with an engaging overview on the Module Phenomenon explored in Marble Run Engineer,</w:t>
            </w:r>
            <w:r>
              <w:rPr>
                <w:rFonts w:ascii="Muli" w:eastAsia="Muli" w:hAnsi="Muli" w:cs="Muli"/>
                <w:sz w:val="20"/>
                <w:szCs w:val="20"/>
              </w:rPr>
              <w:t xml:space="preserve"> the sequence of learning, and an explanation of how the PEs are addressed and how they build on each other.</w:t>
            </w:r>
          </w:p>
        </w:tc>
        <w:tc>
          <w:tcPr>
            <w:tcW w:w="5190" w:type="dxa"/>
            <w:shd w:val="clear" w:color="auto" w:fill="FFFFFF"/>
            <w:tcMar>
              <w:top w:w="99" w:type="dxa"/>
              <w:left w:w="99" w:type="dxa"/>
              <w:bottom w:w="99" w:type="dxa"/>
              <w:right w:w="99" w:type="dxa"/>
            </w:tcMar>
          </w:tcPr>
          <w:p w14:paraId="3FA5D782" w14:textId="77777777" w:rsidR="002B129E" w:rsidRDefault="009D7423">
            <w:pPr>
              <w:pStyle w:val="normal0"/>
              <w:ind w:right="305"/>
              <w:rPr>
                <w:rFonts w:ascii="Muli" w:eastAsia="Muli" w:hAnsi="Muli" w:cs="Muli"/>
                <w:b/>
                <w:sz w:val="20"/>
                <w:szCs w:val="20"/>
              </w:rPr>
            </w:pPr>
            <w:r>
              <w:rPr>
                <w:rFonts w:ascii="Muli" w:eastAsia="Muli" w:hAnsi="Muli" w:cs="Muli"/>
                <w:b/>
                <w:noProof/>
                <w:sz w:val="20"/>
                <w:szCs w:val="20"/>
              </w:rPr>
              <w:drawing>
                <wp:inline distT="114300" distB="114300" distL="114300" distR="114300" wp14:anchorId="7326743F" wp14:editId="254694A4">
                  <wp:extent cx="3162300" cy="1790700"/>
                  <wp:effectExtent l="0" t="0" r="0" b="0"/>
                  <wp:docPr id="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3162300" cy="1790700"/>
                          </a:xfrm>
                          <a:prstGeom prst="rect">
                            <a:avLst/>
                          </a:prstGeom>
                          <a:ln/>
                        </pic:spPr>
                      </pic:pic>
                    </a:graphicData>
                  </a:graphic>
                </wp:inline>
              </w:drawing>
            </w:r>
          </w:p>
          <w:p w14:paraId="58495DB5" w14:textId="77777777" w:rsidR="002B129E" w:rsidRDefault="009D7423">
            <w:pPr>
              <w:pStyle w:val="normal0"/>
              <w:ind w:right="305"/>
              <w:rPr>
                <w:rFonts w:ascii="Muli" w:eastAsia="Muli" w:hAnsi="Muli" w:cs="Muli"/>
                <w:b/>
                <w:color w:val="FF126D"/>
                <w:sz w:val="20"/>
                <w:szCs w:val="20"/>
              </w:rPr>
            </w:pPr>
            <w:r>
              <w:rPr>
                <w:rFonts w:ascii="Muli" w:eastAsia="Muli" w:hAnsi="Muli" w:cs="Muli"/>
                <w:b/>
                <w:color w:val="FF126D"/>
                <w:sz w:val="20"/>
                <w:szCs w:val="20"/>
              </w:rPr>
              <w:t>Marble Run Engineers Module Introduction video</w:t>
            </w:r>
          </w:p>
        </w:tc>
      </w:tr>
      <w:tr w:rsidR="002B129E" w14:paraId="3A5528D1" w14:textId="77777777">
        <w:trPr>
          <w:trHeight w:val="760"/>
        </w:trPr>
        <w:tc>
          <w:tcPr>
            <w:tcW w:w="9015" w:type="dxa"/>
            <w:shd w:val="clear" w:color="auto" w:fill="FFFFFF"/>
            <w:tcMar>
              <w:top w:w="99" w:type="dxa"/>
              <w:left w:w="99" w:type="dxa"/>
              <w:bottom w:w="99" w:type="dxa"/>
              <w:right w:w="99" w:type="dxa"/>
            </w:tcMar>
          </w:tcPr>
          <w:p w14:paraId="4785C002" w14:textId="77777777" w:rsidR="002B129E" w:rsidRDefault="009D7423">
            <w:pPr>
              <w:pStyle w:val="normal0"/>
              <w:numPr>
                <w:ilvl w:val="0"/>
                <w:numId w:val="12"/>
              </w:numPr>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Module Contents (TE pp. ii–iii)</w:t>
            </w:r>
            <w:r>
              <w:rPr>
                <w:rFonts w:ascii="Muli" w:eastAsia="Muli" w:hAnsi="Muli" w:cs="Muli"/>
                <w:color w:val="FF0000"/>
                <w:sz w:val="20"/>
                <w:szCs w:val="20"/>
              </w:rPr>
              <w:t xml:space="preserve"> </w:t>
            </w:r>
            <w:r>
              <w:rPr>
                <w:rFonts w:ascii="Muli" w:eastAsia="Muli" w:hAnsi="Muli" w:cs="Muli"/>
                <w:sz w:val="20"/>
                <w:szCs w:val="20"/>
              </w:rPr>
              <w:t xml:space="preserve">helps teachers identify the sequence of three dimensions addressed in Marble Run Engineer and states how they build on each other. For example, students are introduced to motion and learn about pushes and pulls in DQ1, before they investigate using pushes </w:t>
            </w:r>
            <w:r>
              <w:rPr>
                <w:rFonts w:ascii="Muli" w:eastAsia="Muli" w:hAnsi="Muli" w:cs="Muli"/>
                <w:sz w:val="20"/>
                <w:szCs w:val="20"/>
              </w:rPr>
              <w:t>and pulls to change the speed and direction of an object in DQ2. In DQ3, they use their learning to predict and test how a marble will move in marble runs that they have designed.</w:t>
            </w:r>
          </w:p>
        </w:tc>
        <w:tc>
          <w:tcPr>
            <w:tcW w:w="5190" w:type="dxa"/>
            <w:shd w:val="clear" w:color="auto" w:fill="FFFFFF"/>
            <w:tcMar>
              <w:top w:w="99" w:type="dxa"/>
              <w:left w:w="99" w:type="dxa"/>
              <w:bottom w:w="99" w:type="dxa"/>
              <w:right w:w="99" w:type="dxa"/>
            </w:tcMar>
          </w:tcPr>
          <w:p w14:paraId="7123F240" w14:textId="77777777" w:rsidR="002B129E" w:rsidRDefault="009D7423">
            <w:pPr>
              <w:pStyle w:val="normal0"/>
              <w:ind w:right="30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FC125E1" wp14:editId="4FD6FB75">
                  <wp:extent cx="3162300" cy="37846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3162300" cy="3784600"/>
                          </a:xfrm>
                          <a:prstGeom prst="rect">
                            <a:avLst/>
                          </a:prstGeom>
                          <a:ln/>
                        </pic:spPr>
                      </pic:pic>
                    </a:graphicData>
                  </a:graphic>
                </wp:inline>
              </w:drawing>
            </w:r>
          </w:p>
          <w:p w14:paraId="0B11862D"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Module Contents TE pp. ii–iii</w:t>
            </w:r>
          </w:p>
        </w:tc>
      </w:tr>
      <w:tr w:rsidR="002B129E" w14:paraId="46E9031C" w14:textId="77777777">
        <w:trPr>
          <w:trHeight w:val="760"/>
        </w:trPr>
        <w:tc>
          <w:tcPr>
            <w:tcW w:w="9015" w:type="dxa"/>
            <w:shd w:val="clear" w:color="auto" w:fill="FFFFFF"/>
            <w:tcMar>
              <w:top w:w="99" w:type="dxa"/>
              <w:left w:w="99" w:type="dxa"/>
              <w:bottom w:w="99" w:type="dxa"/>
              <w:right w:w="99" w:type="dxa"/>
            </w:tcMar>
          </w:tcPr>
          <w:p w14:paraId="700BA3CD" w14:textId="77777777" w:rsidR="002B129E" w:rsidRDefault="009D7423">
            <w:pPr>
              <w:pStyle w:val="normal0"/>
              <w:numPr>
                <w:ilvl w:val="0"/>
                <w:numId w:val="12"/>
              </w:numPr>
              <w:rPr>
                <w:rFonts w:ascii="Muli" w:eastAsia="Muli" w:hAnsi="Muli" w:cs="Muli"/>
                <w:sz w:val="20"/>
                <w:szCs w:val="20"/>
              </w:rPr>
            </w:pPr>
            <w:r>
              <w:rPr>
                <w:rFonts w:ascii="Muli" w:eastAsia="Muli" w:hAnsi="Muli" w:cs="Muli"/>
                <w:sz w:val="20"/>
                <w:szCs w:val="20"/>
              </w:rPr>
              <w:lastRenderedPageBreak/>
              <w:t xml:space="preserve">More detail is provided in each </w:t>
            </w:r>
            <w:r>
              <w:rPr>
                <w:rFonts w:ascii="Muli" w:eastAsia="Muli" w:hAnsi="Muli" w:cs="Muli"/>
                <w:b/>
                <w:color w:val="FF126D"/>
                <w:sz w:val="20"/>
                <w:szCs w:val="20"/>
              </w:rPr>
              <w:t>Driving Que</w:t>
            </w:r>
            <w:r>
              <w:rPr>
                <w:rFonts w:ascii="Muli" w:eastAsia="Muli" w:hAnsi="Muli" w:cs="Muli"/>
                <w:b/>
                <w:color w:val="FF126D"/>
                <w:sz w:val="20"/>
                <w:szCs w:val="20"/>
              </w:rPr>
              <w:t>stion Divider</w:t>
            </w:r>
            <w:r>
              <w:rPr>
                <w:rFonts w:ascii="Muli" w:eastAsia="Muli" w:hAnsi="Muli" w:cs="Muli"/>
                <w:sz w:val="20"/>
                <w:szCs w:val="20"/>
              </w:rPr>
              <w:t xml:space="preserve"> which tells the story of how the students will sequentially use the three dimensions in each lesson in the Driving Question to answer the question posed. For example, in DQ2, students plan and carry out different investigations into pushes an</w:t>
            </w:r>
            <w:r>
              <w:rPr>
                <w:rFonts w:ascii="Muli" w:eastAsia="Muli" w:hAnsi="Muli" w:cs="Muli"/>
                <w:sz w:val="20"/>
                <w:szCs w:val="20"/>
              </w:rPr>
              <w:t>d pulls, and analyze their data to see how the results change between investigations. This knowledge helps them establish an answer to the Driving Question: How can we get marbles where we want them?</w:t>
            </w:r>
          </w:p>
        </w:tc>
        <w:tc>
          <w:tcPr>
            <w:tcW w:w="5190" w:type="dxa"/>
            <w:shd w:val="clear" w:color="auto" w:fill="FFFFFF"/>
            <w:tcMar>
              <w:top w:w="99" w:type="dxa"/>
              <w:left w:w="99" w:type="dxa"/>
              <w:bottom w:w="99" w:type="dxa"/>
              <w:right w:w="99" w:type="dxa"/>
            </w:tcMar>
          </w:tcPr>
          <w:p w14:paraId="0997F36D" w14:textId="77777777" w:rsidR="002B129E" w:rsidRDefault="009D742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579A5BA" wp14:editId="26D78B77">
                  <wp:extent cx="2306638" cy="2712101"/>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306638" cy="2712101"/>
                          </a:xfrm>
                          <a:prstGeom prst="rect">
                            <a:avLst/>
                          </a:prstGeom>
                          <a:ln/>
                        </pic:spPr>
                      </pic:pic>
                    </a:graphicData>
                  </a:graphic>
                </wp:inline>
              </w:drawing>
            </w:r>
          </w:p>
          <w:p w14:paraId="25624B21"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Driving Divider</w:t>
            </w:r>
          </w:p>
        </w:tc>
      </w:tr>
      <w:tr w:rsidR="002B129E" w14:paraId="128E93B1" w14:textId="77777777">
        <w:trPr>
          <w:trHeight w:val="760"/>
        </w:trPr>
        <w:tc>
          <w:tcPr>
            <w:tcW w:w="9015" w:type="dxa"/>
            <w:shd w:val="clear" w:color="auto" w:fill="FFFFFF"/>
            <w:tcMar>
              <w:top w:w="99" w:type="dxa"/>
              <w:left w:w="99" w:type="dxa"/>
              <w:bottom w:w="99" w:type="dxa"/>
              <w:right w:w="99" w:type="dxa"/>
            </w:tcMar>
          </w:tcPr>
          <w:p w14:paraId="74292601" w14:textId="77777777" w:rsidR="002B129E" w:rsidRDefault="009D7423">
            <w:pPr>
              <w:pStyle w:val="normal0"/>
              <w:numPr>
                <w:ilvl w:val="0"/>
                <w:numId w:val="18"/>
              </w:numPr>
              <w:rPr>
                <w:rFonts w:ascii="Muli" w:eastAsia="Muli" w:hAnsi="Muli" w:cs="Muli"/>
                <w:sz w:val="20"/>
                <w:szCs w:val="20"/>
              </w:rPr>
            </w:pPr>
            <w:r>
              <w:rPr>
                <w:rFonts w:ascii="Muli" w:eastAsia="Muli" w:hAnsi="Muli" w:cs="Muli"/>
                <w:sz w:val="20"/>
                <w:szCs w:val="20"/>
              </w:rPr>
              <w:t xml:space="preserve">The </w:t>
            </w:r>
            <w:r>
              <w:rPr>
                <w:rFonts w:ascii="Muli" w:eastAsia="Muli" w:hAnsi="Muli" w:cs="Muli"/>
                <w:b/>
                <w:color w:val="FF126D"/>
                <w:sz w:val="20"/>
                <w:szCs w:val="20"/>
              </w:rPr>
              <w:t>Lesson Overview (DQ3L5 TE p. 158)</w:t>
            </w:r>
            <w:r>
              <w:rPr>
                <w:rFonts w:ascii="Muli" w:eastAsia="Muli" w:hAnsi="Muli" w:cs="Muli"/>
                <w:sz w:val="20"/>
                <w:szCs w:val="20"/>
              </w:rPr>
              <w:t xml:space="preserve"> identifies the dimensions used in each lesson, while the graphic organizer details how the dimensions relate to the learning experience. For example, in DQ3, L5 the overview explains that in this lesson students will use a marble run to define a design pr</w:t>
            </w:r>
            <w:r>
              <w:rPr>
                <w:rFonts w:ascii="Muli" w:eastAsia="Muli" w:hAnsi="Muli" w:cs="Muli"/>
                <w:sz w:val="20"/>
                <w:szCs w:val="20"/>
              </w:rPr>
              <w:t>oblem (ETS1.A), develop a model (SEP-2), conduct a test (SEP-3), and analyze observations (SEP-4).</w:t>
            </w:r>
            <w:r>
              <w:rPr>
                <w:rFonts w:ascii="Muli" w:eastAsia="Muli" w:hAnsi="Muli" w:cs="Muli"/>
                <w:color w:val="FF0000"/>
                <w:sz w:val="20"/>
                <w:szCs w:val="20"/>
              </w:rPr>
              <w:t xml:space="preserve"> </w:t>
            </w:r>
          </w:p>
        </w:tc>
        <w:tc>
          <w:tcPr>
            <w:tcW w:w="5190" w:type="dxa"/>
            <w:shd w:val="clear" w:color="auto" w:fill="FFFFFF"/>
            <w:tcMar>
              <w:top w:w="99" w:type="dxa"/>
              <w:left w:w="99" w:type="dxa"/>
              <w:bottom w:w="99" w:type="dxa"/>
              <w:right w:w="99" w:type="dxa"/>
            </w:tcMar>
          </w:tcPr>
          <w:p w14:paraId="69A3F696" w14:textId="77777777" w:rsidR="002B129E" w:rsidRDefault="009D742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60E253B" wp14:editId="57B70978">
                  <wp:extent cx="2763837" cy="299269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763837" cy="2992690"/>
                          </a:xfrm>
                          <a:prstGeom prst="rect">
                            <a:avLst/>
                          </a:prstGeom>
                          <a:ln/>
                        </pic:spPr>
                      </pic:pic>
                    </a:graphicData>
                  </a:graphic>
                </wp:inline>
              </w:drawing>
            </w:r>
          </w:p>
          <w:p w14:paraId="5237CD01" w14:textId="77777777" w:rsidR="002B129E" w:rsidRDefault="002B129E">
            <w:pPr>
              <w:pStyle w:val="normal0"/>
              <w:rPr>
                <w:rFonts w:ascii="Muli" w:eastAsia="Muli" w:hAnsi="Muli" w:cs="Muli"/>
                <w:b/>
                <w:color w:val="FF126D"/>
                <w:sz w:val="20"/>
                <w:szCs w:val="20"/>
              </w:rPr>
            </w:pPr>
          </w:p>
          <w:p w14:paraId="41C08A83"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DQ3L5 Lesson Overview TE p. 158</w:t>
            </w:r>
          </w:p>
        </w:tc>
      </w:tr>
    </w:tbl>
    <w:p w14:paraId="02C4A773" w14:textId="77777777" w:rsidR="002B129E" w:rsidRDefault="002B129E">
      <w:pPr>
        <w:pStyle w:val="normal0"/>
        <w:spacing w:line="276" w:lineRule="auto"/>
        <w:rPr>
          <w:rFonts w:ascii="Muli" w:eastAsia="Muli" w:hAnsi="Muli" w:cs="Muli"/>
          <w:sz w:val="20"/>
          <w:szCs w:val="20"/>
        </w:rPr>
      </w:pPr>
    </w:p>
    <w:tbl>
      <w:tblPr>
        <w:tblStyle w:val="a2"/>
        <w:tblW w:w="14197"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97"/>
      </w:tblGrid>
      <w:tr w:rsidR="002B129E" w14:paraId="5ADD8464" w14:textId="77777777" w:rsidTr="009D7423">
        <w:trPr>
          <w:trHeight w:val="760"/>
        </w:trPr>
        <w:tc>
          <w:tcPr>
            <w:tcW w:w="14197" w:type="dxa"/>
            <w:shd w:val="clear" w:color="auto" w:fill="2F5496"/>
          </w:tcPr>
          <w:p w14:paraId="4D589874" w14:textId="77777777" w:rsidR="002B129E" w:rsidRDefault="009D7423">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7F2CD088" w14:textId="77777777" w:rsidR="002B129E" w:rsidRDefault="002B129E">
      <w:pPr>
        <w:pStyle w:val="normal0"/>
        <w:pBdr>
          <w:top w:val="nil"/>
          <w:left w:val="nil"/>
          <w:bottom w:val="nil"/>
          <w:right w:val="nil"/>
          <w:between w:val="nil"/>
        </w:pBdr>
        <w:spacing w:before="8"/>
        <w:rPr>
          <w:color w:val="000000"/>
        </w:rPr>
      </w:pPr>
    </w:p>
    <w:tbl>
      <w:tblPr>
        <w:tblStyle w:val="a3"/>
        <w:tblW w:w="1417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5"/>
        <w:gridCol w:w="992"/>
        <w:gridCol w:w="1293"/>
        <w:gridCol w:w="975"/>
      </w:tblGrid>
      <w:tr w:rsidR="002B129E" w14:paraId="4E0BA3F4" w14:textId="77777777" w:rsidTr="009D7423">
        <w:trPr>
          <w:trHeight w:val="240"/>
        </w:trPr>
        <w:tc>
          <w:tcPr>
            <w:tcW w:w="10915" w:type="dxa"/>
            <w:shd w:val="clear" w:color="auto" w:fill="FF126D"/>
            <w:tcMar>
              <w:top w:w="99" w:type="dxa"/>
              <w:left w:w="99" w:type="dxa"/>
              <w:bottom w:w="99" w:type="dxa"/>
              <w:right w:w="99" w:type="dxa"/>
            </w:tcMar>
          </w:tcPr>
          <w:p w14:paraId="7548FA4C" w14:textId="77777777" w:rsidR="002B129E" w:rsidRDefault="009D7423">
            <w:pPr>
              <w:pStyle w:val="normal0"/>
              <w:spacing w:before="1"/>
              <w:ind w:right="150"/>
              <w:rPr>
                <w:rFonts w:ascii="Muli" w:eastAsia="Muli" w:hAnsi="Muli" w:cs="Muli"/>
                <w:sz w:val="20"/>
                <w:szCs w:val="20"/>
              </w:rPr>
            </w:pPr>
            <w:r>
              <w:rPr>
                <w:rFonts w:ascii="Muli" w:eastAsia="Muli" w:hAnsi="Muli" w:cs="Muli"/>
                <w:color w:val="FFFFFF"/>
                <w:sz w:val="20"/>
                <w:szCs w:val="20"/>
              </w:rPr>
              <w:t>Teacher materials…</w:t>
            </w:r>
          </w:p>
        </w:tc>
        <w:tc>
          <w:tcPr>
            <w:tcW w:w="992" w:type="dxa"/>
            <w:shd w:val="clear" w:color="auto" w:fill="FF126D"/>
          </w:tcPr>
          <w:p w14:paraId="0BB7306C" w14:textId="77777777" w:rsidR="002B129E" w:rsidRDefault="009D7423">
            <w:pPr>
              <w:pStyle w:val="normal0"/>
              <w:spacing w:before="1"/>
              <w:ind w:left="180" w:right="150"/>
              <w:rPr>
                <w:rFonts w:ascii="Muli" w:eastAsia="Muli" w:hAnsi="Muli" w:cs="Muli"/>
                <w:sz w:val="20"/>
                <w:szCs w:val="20"/>
              </w:rPr>
            </w:pPr>
            <w:r>
              <w:rPr>
                <w:rFonts w:ascii="Muli" w:eastAsia="Muli" w:hAnsi="Muli" w:cs="Muli"/>
                <w:color w:val="FFFFFF"/>
                <w:sz w:val="20"/>
                <w:szCs w:val="20"/>
              </w:rPr>
              <w:t>Strong</w:t>
            </w:r>
          </w:p>
        </w:tc>
        <w:tc>
          <w:tcPr>
            <w:tcW w:w="1293" w:type="dxa"/>
            <w:shd w:val="clear" w:color="auto" w:fill="FF126D"/>
          </w:tcPr>
          <w:p w14:paraId="0DC947A0" w14:textId="77777777" w:rsidR="002B129E" w:rsidRDefault="009D7423">
            <w:pPr>
              <w:pStyle w:val="normal0"/>
              <w:spacing w:before="1"/>
              <w:ind w:left="180" w:right="150"/>
              <w:rPr>
                <w:rFonts w:ascii="Muli" w:eastAsia="Muli" w:hAnsi="Muli" w:cs="Muli"/>
                <w:sz w:val="20"/>
                <w:szCs w:val="20"/>
              </w:rPr>
            </w:pPr>
            <w:r>
              <w:rPr>
                <w:rFonts w:ascii="Muli" w:eastAsia="Muli" w:hAnsi="Muli" w:cs="Muli"/>
                <w:color w:val="FFFFFF"/>
                <w:sz w:val="20"/>
                <w:szCs w:val="20"/>
              </w:rPr>
              <w:t>Adequate</w:t>
            </w:r>
          </w:p>
        </w:tc>
        <w:tc>
          <w:tcPr>
            <w:tcW w:w="975" w:type="dxa"/>
            <w:shd w:val="clear" w:color="auto" w:fill="FF126D"/>
          </w:tcPr>
          <w:p w14:paraId="7DCD74ED" w14:textId="77777777" w:rsidR="002B129E" w:rsidRDefault="009D7423">
            <w:pPr>
              <w:pStyle w:val="normal0"/>
              <w:spacing w:before="1"/>
              <w:ind w:left="180" w:right="150"/>
              <w:rPr>
                <w:rFonts w:ascii="Muli" w:eastAsia="Muli" w:hAnsi="Muli" w:cs="Muli"/>
                <w:sz w:val="20"/>
                <w:szCs w:val="20"/>
              </w:rPr>
            </w:pPr>
            <w:r>
              <w:rPr>
                <w:rFonts w:ascii="Muli" w:eastAsia="Muli" w:hAnsi="Muli" w:cs="Muli"/>
                <w:color w:val="FFFFFF"/>
                <w:sz w:val="20"/>
                <w:szCs w:val="20"/>
              </w:rPr>
              <w:t>Weak</w:t>
            </w:r>
          </w:p>
        </w:tc>
      </w:tr>
      <w:tr w:rsidR="002B129E" w14:paraId="3E8AFF3C" w14:textId="77777777" w:rsidTr="009D7423">
        <w:trPr>
          <w:trHeight w:val="480"/>
        </w:trPr>
        <w:tc>
          <w:tcPr>
            <w:tcW w:w="10915" w:type="dxa"/>
            <w:tcMar>
              <w:top w:w="99" w:type="dxa"/>
              <w:left w:w="99" w:type="dxa"/>
              <w:bottom w:w="99" w:type="dxa"/>
              <w:right w:w="99" w:type="dxa"/>
            </w:tcMar>
          </w:tcPr>
          <w:p w14:paraId="2F9DAB39" w14:textId="77777777" w:rsidR="002B129E" w:rsidRDefault="009D7423">
            <w:pPr>
              <w:pStyle w:val="normal0"/>
              <w:pBdr>
                <w:top w:val="nil"/>
                <w:left w:val="nil"/>
                <w:bottom w:val="nil"/>
                <w:right w:val="nil"/>
                <w:between w:val="nil"/>
              </w:pBdr>
              <w:spacing w:before="1"/>
              <w:ind w:right="423"/>
              <w:rPr>
                <w:rFonts w:ascii="Muli" w:eastAsia="Muli" w:hAnsi="Muli" w:cs="Muli"/>
                <w:color w:val="000000"/>
                <w:sz w:val="20"/>
                <w:szCs w:val="20"/>
              </w:rPr>
            </w:pPr>
            <w:r>
              <w:rPr>
                <w:rFonts w:ascii="Muli" w:eastAsia="Muli" w:hAnsi="Muli" w:cs="Muli"/>
                <w:b/>
                <w:color w:val="000000"/>
                <w:sz w:val="20"/>
                <w:szCs w:val="20"/>
              </w:rPr>
              <w:t xml:space="preserve">SW1. Phenomena/Problems. </w:t>
            </w:r>
            <w:r>
              <w:rPr>
                <w:rFonts w:ascii="Muli" w:eastAsia="Muli" w:hAnsi="Muli" w:cs="Muli"/>
                <w:color w:val="000000"/>
                <w:sz w:val="20"/>
                <w:szCs w:val="20"/>
              </w:rPr>
              <w:t>Provide support and strategies for how to help students figure out/solve authentic and relevant phenomena/problems using the three dimensions.</w:t>
            </w:r>
          </w:p>
        </w:tc>
        <w:tc>
          <w:tcPr>
            <w:tcW w:w="992" w:type="dxa"/>
          </w:tcPr>
          <w:p w14:paraId="4EBE6C8B"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93" w:type="dxa"/>
          </w:tcPr>
          <w:p w14:paraId="7A56EB3B"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tcPr>
          <w:p w14:paraId="738B355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0F853DBE" w14:textId="77777777" w:rsidTr="009D7423">
        <w:trPr>
          <w:trHeight w:val="400"/>
        </w:trPr>
        <w:tc>
          <w:tcPr>
            <w:tcW w:w="10915" w:type="dxa"/>
            <w:vMerge w:val="restart"/>
            <w:tcBorders>
              <w:bottom w:val="nil"/>
              <w:right w:val="nil"/>
            </w:tcBorders>
            <w:tcMar>
              <w:top w:w="99" w:type="dxa"/>
              <w:left w:w="99" w:type="dxa"/>
              <w:bottom w:w="99" w:type="dxa"/>
              <w:right w:w="99" w:type="dxa"/>
            </w:tcMar>
          </w:tcPr>
          <w:p w14:paraId="756E8187" w14:textId="77777777" w:rsidR="002B129E" w:rsidRDefault="009D7423">
            <w:pPr>
              <w:pStyle w:val="normal0"/>
              <w:pBdr>
                <w:top w:val="nil"/>
                <w:left w:val="nil"/>
                <w:bottom w:val="nil"/>
                <w:right w:val="nil"/>
                <w:between w:val="nil"/>
              </w:pBdr>
              <w:spacing w:before="1"/>
              <w:rPr>
                <w:rFonts w:ascii="Muli" w:eastAsia="Muli" w:hAnsi="Muli" w:cs="Muli"/>
                <w:color w:val="000000"/>
                <w:sz w:val="20"/>
                <w:szCs w:val="20"/>
              </w:rPr>
            </w:pPr>
            <w:r>
              <w:rPr>
                <w:rFonts w:ascii="Muli" w:eastAsia="Muli" w:hAnsi="Muli" w:cs="Muli"/>
                <w:b/>
                <w:color w:val="000000"/>
                <w:sz w:val="20"/>
                <w:szCs w:val="20"/>
              </w:rPr>
              <w:t xml:space="preserve">SW2. Three-dimensional Conceptual Framework. </w:t>
            </w:r>
            <w:r>
              <w:rPr>
                <w:rFonts w:ascii="Muli" w:eastAsia="Muli" w:hAnsi="Muli" w:cs="Muli"/>
                <w:color w:val="000000"/>
                <w:sz w:val="20"/>
                <w:szCs w:val="20"/>
              </w:rPr>
              <w:t>Provide support and strategies for how teachers</w:t>
            </w:r>
          </w:p>
          <w:p w14:paraId="2B6C04FE" w14:textId="77777777" w:rsidR="002B129E" w:rsidRDefault="009D7423">
            <w:pPr>
              <w:pStyle w:val="normal0"/>
              <w:numPr>
                <w:ilvl w:val="0"/>
                <w:numId w:val="4"/>
              </w:numPr>
              <w:pBdr>
                <w:top w:val="nil"/>
                <w:left w:val="nil"/>
                <w:bottom w:val="nil"/>
                <w:right w:val="nil"/>
                <w:between w:val="nil"/>
              </w:pBdr>
              <w:tabs>
                <w:tab w:val="left" w:pos="834"/>
                <w:tab w:val="left" w:pos="835"/>
              </w:tabs>
              <w:spacing w:before="13"/>
              <w:ind w:right="640"/>
              <w:contextualSpacing/>
              <w:rPr>
                <w:rFonts w:ascii="Muli" w:eastAsia="Muli" w:hAnsi="Muli" w:cs="Muli"/>
                <w:color w:val="000000"/>
                <w:sz w:val="20"/>
                <w:szCs w:val="20"/>
              </w:rPr>
            </w:pPr>
            <w:r>
              <w:rPr>
                <w:rFonts w:ascii="Muli" w:eastAsia="Muli" w:hAnsi="Muli" w:cs="Muli"/>
                <w:color w:val="000000"/>
                <w:sz w:val="20"/>
                <w:szCs w:val="20"/>
              </w:rPr>
              <w:t>help students develop a conceptual framework of scientifically accurate understandings and abilities related to</w:t>
            </w:r>
          </w:p>
          <w:p w14:paraId="6A083BF1" w14:textId="77777777" w:rsidR="002B129E" w:rsidRDefault="009D7423">
            <w:pPr>
              <w:pStyle w:val="normal0"/>
              <w:numPr>
                <w:ilvl w:val="1"/>
                <w:numId w:val="4"/>
              </w:numPr>
              <w:pBdr>
                <w:top w:val="nil"/>
                <w:left w:val="nil"/>
                <w:bottom w:val="nil"/>
                <w:right w:val="nil"/>
                <w:between w:val="nil"/>
              </w:pBdr>
              <w:tabs>
                <w:tab w:val="left" w:pos="834"/>
                <w:tab w:val="left" w:pos="835"/>
              </w:tabs>
              <w:spacing w:before="13"/>
              <w:ind w:right="640"/>
              <w:contextualSpacing/>
              <w:rPr>
                <w:rFonts w:ascii="Muli" w:eastAsia="Muli" w:hAnsi="Muli" w:cs="Muli"/>
                <w:sz w:val="20"/>
                <w:szCs w:val="20"/>
              </w:rPr>
            </w:pPr>
            <w:r>
              <w:rPr>
                <w:rFonts w:ascii="Muli" w:eastAsia="Muli" w:hAnsi="Muli" w:cs="Muli"/>
                <w:sz w:val="20"/>
                <w:szCs w:val="20"/>
              </w:rPr>
              <w:t>DCIs, SEPs, and CCCs</w:t>
            </w:r>
          </w:p>
          <w:p w14:paraId="58F08B2E" w14:textId="77777777" w:rsidR="002B129E" w:rsidRDefault="009D7423">
            <w:pPr>
              <w:pStyle w:val="normal0"/>
              <w:numPr>
                <w:ilvl w:val="1"/>
                <w:numId w:val="4"/>
              </w:numPr>
              <w:spacing w:line="242" w:lineRule="auto"/>
              <w:ind w:right="81"/>
              <w:contextualSpacing/>
              <w:rPr>
                <w:rFonts w:ascii="Muli" w:eastAsia="Muli" w:hAnsi="Muli" w:cs="Muli"/>
                <w:sz w:val="20"/>
                <w:szCs w:val="20"/>
              </w:rPr>
            </w:pPr>
            <w:r>
              <w:rPr>
                <w:rFonts w:ascii="Muli" w:eastAsia="Muli" w:hAnsi="Muli" w:cs="Muli"/>
                <w:sz w:val="20"/>
                <w:szCs w:val="20"/>
              </w:rPr>
              <w:t>NoS and ETS</w:t>
            </w:r>
          </w:p>
          <w:p w14:paraId="1F183C81" w14:textId="77777777" w:rsidR="002B129E" w:rsidRDefault="009D7423">
            <w:pPr>
              <w:pStyle w:val="normal0"/>
              <w:numPr>
                <w:ilvl w:val="1"/>
                <w:numId w:val="4"/>
              </w:numPr>
              <w:spacing w:before="1" w:line="242" w:lineRule="auto"/>
              <w:ind w:right="81"/>
              <w:contextualSpacing/>
              <w:rPr>
                <w:rFonts w:ascii="Muli" w:eastAsia="Muli" w:hAnsi="Muli" w:cs="Muli"/>
                <w:sz w:val="20"/>
                <w:szCs w:val="20"/>
              </w:rPr>
            </w:pPr>
            <w:r>
              <w:rPr>
                <w:rFonts w:ascii="Muli" w:eastAsia="Muli" w:hAnsi="Muli" w:cs="Muli"/>
                <w:sz w:val="20"/>
                <w:szCs w:val="20"/>
              </w:rPr>
              <w:t>ELA and math</w:t>
            </w:r>
          </w:p>
          <w:p w14:paraId="7FD5DDB4" w14:textId="77777777" w:rsidR="002B129E" w:rsidRDefault="009D7423">
            <w:pPr>
              <w:pStyle w:val="normal0"/>
              <w:numPr>
                <w:ilvl w:val="0"/>
                <w:numId w:val="4"/>
              </w:numPr>
              <w:tabs>
                <w:tab w:val="left" w:pos="834"/>
                <w:tab w:val="left" w:pos="835"/>
              </w:tabs>
              <w:spacing w:before="14"/>
              <w:ind w:right="143"/>
              <w:rPr>
                <w:rFonts w:ascii="Muli" w:eastAsia="Muli" w:hAnsi="Muli" w:cs="Muli"/>
              </w:rPr>
            </w:pPr>
            <w:r>
              <w:rPr>
                <w:rFonts w:ascii="Muli" w:eastAsia="Muli" w:hAnsi="Muli" w:cs="Muli"/>
                <w:sz w:val="20"/>
                <w:szCs w:val="20"/>
              </w:rPr>
              <w:t>create a learning environment that values students’ ideas, motivates learning, and helps students negotiate new meaning as they interact with others’ ideas, new information, and new experiences.</w:t>
            </w:r>
          </w:p>
        </w:tc>
        <w:tc>
          <w:tcPr>
            <w:tcW w:w="992" w:type="dxa"/>
            <w:vMerge w:val="restart"/>
          </w:tcPr>
          <w:p w14:paraId="4AA72F1C"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93" w:type="dxa"/>
            <w:vMerge w:val="restart"/>
          </w:tcPr>
          <w:p w14:paraId="0AC73498"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vMerge w:val="restart"/>
          </w:tcPr>
          <w:p w14:paraId="17396285"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1CFA2F82" w14:textId="77777777" w:rsidTr="009D7423">
        <w:trPr>
          <w:trHeight w:val="400"/>
        </w:trPr>
        <w:tc>
          <w:tcPr>
            <w:tcW w:w="10915" w:type="dxa"/>
            <w:vMerge/>
            <w:tcBorders>
              <w:bottom w:val="nil"/>
              <w:right w:val="nil"/>
            </w:tcBorders>
            <w:tcMar>
              <w:top w:w="99" w:type="dxa"/>
              <w:left w:w="99" w:type="dxa"/>
              <w:bottom w:w="99" w:type="dxa"/>
              <w:right w:w="99" w:type="dxa"/>
            </w:tcMar>
          </w:tcPr>
          <w:p w14:paraId="059E690F" w14:textId="77777777" w:rsidR="002B129E" w:rsidRDefault="002B129E">
            <w:pPr>
              <w:pStyle w:val="normal0"/>
              <w:pBdr>
                <w:top w:val="nil"/>
                <w:left w:val="nil"/>
                <w:bottom w:val="nil"/>
                <w:right w:val="nil"/>
                <w:between w:val="nil"/>
              </w:pBdr>
              <w:rPr>
                <w:color w:val="000000"/>
              </w:rPr>
            </w:pPr>
          </w:p>
        </w:tc>
        <w:tc>
          <w:tcPr>
            <w:tcW w:w="992" w:type="dxa"/>
            <w:vMerge/>
          </w:tcPr>
          <w:p w14:paraId="29311F6B"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93" w:type="dxa"/>
            <w:vMerge/>
          </w:tcPr>
          <w:p w14:paraId="5C8F23D6"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vMerge/>
          </w:tcPr>
          <w:p w14:paraId="7A5EAC05"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4AC98C42" w14:textId="77777777" w:rsidTr="009D7423">
        <w:trPr>
          <w:trHeight w:val="400"/>
        </w:trPr>
        <w:tc>
          <w:tcPr>
            <w:tcW w:w="10915" w:type="dxa"/>
            <w:vMerge/>
            <w:tcBorders>
              <w:bottom w:val="nil"/>
              <w:right w:val="nil"/>
            </w:tcBorders>
            <w:tcMar>
              <w:top w:w="99" w:type="dxa"/>
              <w:left w:w="99" w:type="dxa"/>
              <w:bottom w:w="99" w:type="dxa"/>
              <w:right w:w="99" w:type="dxa"/>
            </w:tcMar>
          </w:tcPr>
          <w:p w14:paraId="44FD5316" w14:textId="77777777" w:rsidR="002B129E" w:rsidRDefault="002B129E">
            <w:pPr>
              <w:pStyle w:val="normal0"/>
              <w:pBdr>
                <w:top w:val="nil"/>
                <w:left w:val="nil"/>
                <w:bottom w:val="nil"/>
                <w:right w:val="nil"/>
                <w:between w:val="nil"/>
              </w:pBdr>
              <w:rPr>
                <w:color w:val="000000"/>
              </w:rPr>
            </w:pPr>
          </w:p>
        </w:tc>
        <w:tc>
          <w:tcPr>
            <w:tcW w:w="992" w:type="dxa"/>
            <w:vMerge/>
          </w:tcPr>
          <w:p w14:paraId="45694A0F"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93" w:type="dxa"/>
            <w:vMerge/>
          </w:tcPr>
          <w:p w14:paraId="734AFDD5"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vMerge/>
          </w:tcPr>
          <w:p w14:paraId="1EF8D329"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69B797DC" w14:textId="77777777" w:rsidTr="009D7423">
        <w:trPr>
          <w:trHeight w:val="520"/>
        </w:trPr>
        <w:tc>
          <w:tcPr>
            <w:tcW w:w="10915" w:type="dxa"/>
            <w:vMerge/>
            <w:tcBorders>
              <w:top w:val="nil"/>
              <w:right w:val="nil"/>
            </w:tcBorders>
            <w:tcMar>
              <w:top w:w="99" w:type="dxa"/>
              <w:left w:w="99" w:type="dxa"/>
              <w:bottom w:w="99" w:type="dxa"/>
              <w:right w:w="99" w:type="dxa"/>
            </w:tcMar>
          </w:tcPr>
          <w:p w14:paraId="31169AF1" w14:textId="77777777" w:rsidR="002B129E" w:rsidRDefault="002B129E">
            <w:pPr>
              <w:pStyle w:val="normal0"/>
              <w:pBdr>
                <w:top w:val="nil"/>
                <w:left w:val="nil"/>
                <w:bottom w:val="nil"/>
                <w:right w:val="nil"/>
                <w:between w:val="nil"/>
              </w:pBdr>
              <w:tabs>
                <w:tab w:val="left" w:pos="834"/>
                <w:tab w:val="left" w:pos="835"/>
              </w:tabs>
              <w:ind w:right="143"/>
              <w:rPr>
                <w:rFonts w:ascii="Muli" w:eastAsia="Muli" w:hAnsi="Muli" w:cs="Muli"/>
                <w:color w:val="000000"/>
                <w:sz w:val="20"/>
                <w:szCs w:val="20"/>
              </w:rPr>
            </w:pPr>
          </w:p>
        </w:tc>
        <w:tc>
          <w:tcPr>
            <w:tcW w:w="992" w:type="dxa"/>
            <w:vMerge/>
          </w:tcPr>
          <w:p w14:paraId="4B42D6A8"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1293" w:type="dxa"/>
            <w:vMerge/>
          </w:tcPr>
          <w:p w14:paraId="5E31D354"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vMerge/>
          </w:tcPr>
          <w:p w14:paraId="388537B9"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2D1A62BB" w14:textId="77777777" w:rsidTr="009D7423">
        <w:trPr>
          <w:trHeight w:val="480"/>
        </w:trPr>
        <w:tc>
          <w:tcPr>
            <w:tcW w:w="10915" w:type="dxa"/>
            <w:tcMar>
              <w:top w:w="99" w:type="dxa"/>
              <w:left w:w="99" w:type="dxa"/>
              <w:bottom w:w="99" w:type="dxa"/>
              <w:right w:w="99" w:type="dxa"/>
            </w:tcMar>
          </w:tcPr>
          <w:p w14:paraId="4349C317" w14:textId="77777777" w:rsidR="002B129E" w:rsidRDefault="009D7423">
            <w:pPr>
              <w:pStyle w:val="normal0"/>
              <w:pBdr>
                <w:top w:val="nil"/>
                <w:left w:val="nil"/>
                <w:bottom w:val="nil"/>
                <w:right w:val="nil"/>
                <w:between w:val="nil"/>
              </w:pBdr>
              <w:spacing w:before="1"/>
              <w:ind w:right="698"/>
              <w:rPr>
                <w:rFonts w:ascii="Muli" w:eastAsia="Muli" w:hAnsi="Muli" w:cs="Muli"/>
                <w:color w:val="000000"/>
                <w:sz w:val="20"/>
                <w:szCs w:val="20"/>
              </w:rPr>
            </w:pPr>
            <w:r>
              <w:rPr>
                <w:rFonts w:ascii="Muli" w:eastAsia="Muli" w:hAnsi="Muli" w:cs="Muli"/>
                <w:b/>
                <w:color w:val="000000"/>
                <w:sz w:val="20"/>
                <w:szCs w:val="20"/>
              </w:rPr>
              <w:t xml:space="preserve">SW3. Prior Knowledge. </w:t>
            </w:r>
            <w:r>
              <w:rPr>
                <w:rFonts w:ascii="Muli" w:eastAsia="Muli" w:hAnsi="Muli" w:cs="Muli"/>
                <w:color w:val="000000"/>
                <w:sz w:val="20"/>
                <w:szCs w:val="20"/>
              </w:rPr>
              <w:t>Provide support and strategies to leverage students’ prior knowledge and experiences to motivate learning.</w:t>
            </w:r>
          </w:p>
        </w:tc>
        <w:tc>
          <w:tcPr>
            <w:tcW w:w="992" w:type="dxa"/>
          </w:tcPr>
          <w:p w14:paraId="7FCE1FF8"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93" w:type="dxa"/>
          </w:tcPr>
          <w:p w14:paraId="21AD6C66"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tcPr>
          <w:p w14:paraId="15244FE9"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6A3D3DB7" w14:textId="77777777" w:rsidTr="009D7423">
        <w:trPr>
          <w:trHeight w:val="380"/>
        </w:trPr>
        <w:tc>
          <w:tcPr>
            <w:tcW w:w="10915" w:type="dxa"/>
            <w:tcMar>
              <w:top w:w="99" w:type="dxa"/>
              <w:left w:w="99" w:type="dxa"/>
              <w:bottom w:w="99" w:type="dxa"/>
              <w:right w:w="99" w:type="dxa"/>
            </w:tcMar>
          </w:tcPr>
          <w:p w14:paraId="684A658A" w14:textId="77777777" w:rsidR="002B129E" w:rsidRDefault="009D7423">
            <w:pPr>
              <w:pStyle w:val="normal0"/>
              <w:pBdr>
                <w:top w:val="nil"/>
                <w:left w:val="nil"/>
                <w:bottom w:val="nil"/>
                <w:right w:val="nil"/>
                <w:between w:val="nil"/>
              </w:pBdr>
              <w:spacing w:before="1"/>
              <w:rPr>
                <w:rFonts w:ascii="Muli" w:eastAsia="Muli" w:hAnsi="Muli" w:cs="Muli"/>
                <w:color w:val="000000"/>
                <w:sz w:val="20"/>
                <w:szCs w:val="20"/>
              </w:rPr>
            </w:pPr>
            <w:r>
              <w:rPr>
                <w:rFonts w:ascii="Muli" w:eastAsia="Muli" w:hAnsi="Muli" w:cs="Muli"/>
                <w:b/>
                <w:color w:val="000000"/>
                <w:sz w:val="20"/>
                <w:szCs w:val="20"/>
              </w:rPr>
              <w:t xml:space="preserve">SW4. Metacognitive Abilities. </w:t>
            </w:r>
            <w:r>
              <w:rPr>
                <w:rFonts w:ascii="Muli" w:eastAsia="Muli" w:hAnsi="Muli" w:cs="Muli"/>
                <w:color w:val="000000"/>
                <w:sz w:val="20"/>
                <w:szCs w:val="20"/>
              </w:rPr>
              <w:t>Provide support and strategies for how to help students develop metacognitive abilities.</w:t>
            </w:r>
          </w:p>
        </w:tc>
        <w:tc>
          <w:tcPr>
            <w:tcW w:w="992" w:type="dxa"/>
          </w:tcPr>
          <w:p w14:paraId="09265586"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93" w:type="dxa"/>
          </w:tcPr>
          <w:p w14:paraId="1EABA8DC"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tcPr>
          <w:p w14:paraId="3A79B5B9"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r w:rsidR="002B129E" w14:paraId="26F9B1FF" w14:textId="77777777" w:rsidTr="009D7423">
        <w:trPr>
          <w:trHeight w:val="480"/>
        </w:trPr>
        <w:tc>
          <w:tcPr>
            <w:tcW w:w="10915" w:type="dxa"/>
            <w:tcMar>
              <w:top w:w="99" w:type="dxa"/>
              <w:left w:w="99" w:type="dxa"/>
              <w:bottom w:w="99" w:type="dxa"/>
              <w:right w:w="99" w:type="dxa"/>
            </w:tcMar>
          </w:tcPr>
          <w:p w14:paraId="4A758892" w14:textId="77777777" w:rsidR="002B129E" w:rsidRDefault="009D7423">
            <w:pPr>
              <w:pStyle w:val="normal0"/>
              <w:pBdr>
                <w:top w:val="nil"/>
                <w:left w:val="nil"/>
                <w:bottom w:val="nil"/>
                <w:right w:val="nil"/>
                <w:between w:val="nil"/>
              </w:pBdr>
              <w:spacing w:before="1" w:line="242" w:lineRule="auto"/>
              <w:rPr>
                <w:rFonts w:ascii="Muli" w:eastAsia="Muli" w:hAnsi="Muli" w:cs="Muli"/>
                <w:color w:val="000000"/>
                <w:sz w:val="20"/>
                <w:szCs w:val="20"/>
              </w:rPr>
            </w:pPr>
            <w:r>
              <w:rPr>
                <w:rFonts w:ascii="Muli" w:eastAsia="Muli" w:hAnsi="Muli" w:cs="Muli"/>
                <w:b/>
                <w:color w:val="000000"/>
                <w:sz w:val="20"/>
                <w:szCs w:val="20"/>
              </w:rPr>
              <w:t xml:space="preserve">SW5. Equitable Learning Opportunities. </w:t>
            </w:r>
            <w:r>
              <w:rPr>
                <w:rFonts w:ascii="Muli" w:eastAsia="Muli" w:hAnsi="Muli" w:cs="Muli"/>
                <w:color w:val="000000"/>
                <w:sz w:val="20"/>
                <w:szCs w:val="20"/>
              </w:rPr>
              <w:t xml:space="preserve">Provide resources and strategies for how to ensure that </w:t>
            </w:r>
            <w:r>
              <w:rPr>
                <w:rFonts w:ascii="Muli" w:eastAsia="Muli" w:hAnsi="Muli" w:cs="Muli"/>
                <w:b/>
                <w:i/>
                <w:color w:val="000000"/>
                <w:sz w:val="20"/>
                <w:szCs w:val="20"/>
              </w:rPr>
              <w:t xml:space="preserve">all </w:t>
            </w:r>
            <w:r>
              <w:rPr>
                <w:rFonts w:ascii="Muli" w:eastAsia="Muli" w:hAnsi="Muli" w:cs="Muli"/>
                <w:color w:val="000000"/>
                <w:sz w:val="20"/>
                <w:szCs w:val="20"/>
              </w:rPr>
              <w:t>students, including those</w:t>
            </w:r>
            <w:r>
              <w:rPr>
                <w:rFonts w:ascii="Muli" w:eastAsia="Muli" w:hAnsi="Muli" w:cs="Muli"/>
                <w:sz w:val="20"/>
                <w:szCs w:val="20"/>
              </w:rPr>
              <w:t xml:space="preserve"> </w:t>
            </w:r>
            <w:r>
              <w:rPr>
                <w:rFonts w:ascii="Muli" w:eastAsia="Muli" w:hAnsi="Muli" w:cs="Muli"/>
                <w:color w:val="000000"/>
                <w:sz w:val="20"/>
                <w:szCs w:val="20"/>
              </w:rPr>
              <w:t>from non-dominant groups and with diverse learning needs, have access to the targeted learning goals and experiences.</w:t>
            </w:r>
          </w:p>
        </w:tc>
        <w:tc>
          <w:tcPr>
            <w:tcW w:w="992" w:type="dxa"/>
          </w:tcPr>
          <w:p w14:paraId="1A0522E1" w14:textId="77777777" w:rsidR="002B129E" w:rsidRDefault="009D7423">
            <w:pPr>
              <w:pStyle w:val="normal0"/>
              <w:jc w:val="center"/>
              <w:rPr>
                <w:rFonts w:ascii="Muli" w:eastAsia="Muli" w:hAnsi="Muli" w:cs="Muli"/>
                <w:color w:val="000000"/>
                <w:sz w:val="20"/>
                <w:szCs w:val="20"/>
              </w:rPr>
            </w:pPr>
            <w:r>
              <w:rPr>
                <w:rFonts w:ascii="Arial Unicode MS" w:eastAsia="Arial Unicode MS" w:hAnsi="Arial Unicode MS" w:cs="Arial Unicode MS"/>
                <w:color w:val="FF126D"/>
                <w:sz w:val="56"/>
                <w:szCs w:val="56"/>
              </w:rPr>
              <w:t>✓</w:t>
            </w:r>
          </w:p>
        </w:tc>
        <w:tc>
          <w:tcPr>
            <w:tcW w:w="1293" w:type="dxa"/>
          </w:tcPr>
          <w:p w14:paraId="5217E369"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c>
          <w:tcPr>
            <w:tcW w:w="975" w:type="dxa"/>
          </w:tcPr>
          <w:p w14:paraId="797C0C88" w14:textId="77777777" w:rsidR="002B129E" w:rsidRDefault="002B129E">
            <w:pPr>
              <w:pStyle w:val="normal0"/>
              <w:pBdr>
                <w:top w:val="nil"/>
                <w:left w:val="nil"/>
                <w:bottom w:val="nil"/>
                <w:right w:val="nil"/>
                <w:between w:val="nil"/>
              </w:pBdr>
              <w:rPr>
                <w:rFonts w:ascii="Muli" w:eastAsia="Muli" w:hAnsi="Muli" w:cs="Muli"/>
                <w:color w:val="000000"/>
                <w:sz w:val="20"/>
                <w:szCs w:val="20"/>
              </w:rPr>
            </w:pPr>
          </w:p>
        </w:tc>
      </w:tr>
    </w:tbl>
    <w:p w14:paraId="542E4F63" w14:textId="77777777" w:rsidR="002B129E" w:rsidRDefault="002B129E">
      <w:pPr>
        <w:pStyle w:val="normal0"/>
        <w:rPr>
          <w:rFonts w:ascii="Muli" w:eastAsia="Muli" w:hAnsi="Muli" w:cs="Muli"/>
          <w:sz w:val="20"/>
          <w:szCs w:val="20"/>
        </w:rPr>
      </w:pPr>
    </w:p>
    <w:p w14:paraId="0FA87B4F" w14:textId="77777777" w:rsidR="002B129E" w:rsidRDefault="002B129E">
      <w:pPr>
        <w:pStyle w:val="normal0"/>
        <w:rPr>
          <w:rFonts w:ascii="Muli" w:eastAsia="Muli" w:hAnsi="Muli" w:cs="Muli"/>
          <w:b/>
          <w:sz w:val="20"/>
          <w:szCs w:val="20"/>
        </w:rPr>
      </w:pPr>
    </w:p>
    <w:p w14:paraId="4D8F4038" w14:textId="77777777" w:rsidR="002B129E" w:rsidRDefault="002B129E">
      <w:pPr>
        <w:pStyle w:val="normal0"/>
        <w:rPr>
          <w:rFonts w:ascii="Muli" w:eastAsia="Muli" w:hAnsi="Muli" w:cs="Muli"/>
          <w:b/>
          <w:sz w:val="20"/>
          <w:szCs w:val="20"/>
        </w:rPr>
      </w:pPr>
    </w:p>
    <w:p w14:paraId="0B9F78DE" w14:textId="77777777" w:rsidR="002B129E" w:rsidRDefault="002B129E">
      <w:pPr>
        <w:pStyle w:val="normal0"/>
        <w:rPr>
          <w:rFonts w:ascii="Muli" w:eastAsia="Muli" w:hAnsi="Muli" w:cs="Muli"/>
          <w:b/>
          <w:sz w:val="20"/>
          <w:szCs w:val="20"/>
        </w:rPr>
      </w:pPr>
    </w:p>
    <w:p w14:paraId="7FEC8BED" w14:textId="77777777" w:rsidR="002B129E" w:rsidRDefault="002B129E">
      <w:pPr>
        <w:pStyle w:val="normal0"/>
        <w:rPr>
          <w:rFonts w:ascii="Muli" w:eastAsia="Muli" w:hAnsi="Muli" w:cs="Muli"/>
          <w:b/>
          <w:sz w:val="20"/>
          <w:szCs w:val="20"/>
        </w:rPr>
      </w:pPr>
    </w:p>
    <w:p w14:paraId="30C0F48A" w14:textId="77777777" w:rsidR="002B129E" w:rsidRDefault="002B129E">
      <w:pPr>
        <w:pStyle w:val="normal0"/>
        <w:rPr>
          <w:rFonts w:ascii="Muli" w:eastAsia="Muli" w:hAnsi="Muli" w:cs="Muli"/>
          <w:b/>
          <w:sz w:val="20"/>
          <w:szCs w:val="20"/>
        </w:rPr>
      </w:pPr>
    </w:p>
    <w:tbl>
      <w:tblPr>
        <w:tblStyle w:val="a4"/>
        <w:tblW w:w="1417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0"/>
        <w:gridCol w:w="4335"/>
      </w:tblGrid>
      <w:tr w:rsidR="002B129E" w14:paraId="3819409D" w14:textId="77777777">
        <w:trPr>
          <w:trHeight w:val="240"/>
        </w:trPr>
        <w:tc>
          <w:tcPr>
            <w:tcW w:w="14175" w:type="dxa"/>
            <w:gridSpan w:val="2"/>
            <w:shd w:val="clear" w:color="auto" w:fill="FF126D"/>
            <w:tcMar>
              <w:top w:w="99" w:type="dxa"/>
              <w:left w:w="99" w:type="dxa"/>
              <w:bottom w:w="99" w:type="dxa"/>
              <w:right w:w="99" w:type="dxa"/>
            </w:tcMar>
          </w:tcPr>
          <w:p w14:paraId="75722C45" w14:textId="77777777" w:rsidR="002B129E" w:rsidRDefault="009D7423">
            <w:pPr>
              <w:pStyle w:val="normal0"/>
              <w:spacing w:before="1"/>
              <w:ind w:right="150"/>
              <w:rPr>
                <w:rFonts w:ascii="Muli" w:eastAsia="Muli" w:hAnsi="Muli" w:cs="Muli"/>
                <w:sz w:val="20"/>
                <w:szCs w:val="20"/>
              </w:rPr>
            </w:pPr>
            <w:r>
              <w:rPr>
                <w:rFonts w:ascii="Muli" w:eastAsia="Muli" w:hAnsi="Muli" w:cs="Muli"/>
                <w:color w:val="FFFFFF"/>
                <w:sz w:val="20"/>
                <w:szCs w:val="20"/>
              </w:rPr>
              <w:lastRenderedPageBreak/>
              <w:t>Strengths related to these Teacher Supports</w:t>
            </w:r>
          </w:p>
        </w:tc>
      </w:tr>
      <w:tr w:rsidR="002B129E" w14:paraId="3CEB953E" w14:textId="77777777">
        <w:trPr>
          <w:trHeight w:val="240"/>
        </w:trPr>
        <w:tc>
          <w:tcPr>
            <w:tcW w:w="14175" w:type="dxa"/>
            <w:gridSpan w:val="2"/>
            <w:shd w:val="clear" w:color="auto" w:fill="CCCCCC"/>
            <w:tcMar>
              <w:top w:w="99" w:type="dxa"/>
              <w:left w:w="99" w:type="dxa"/>
              <w:bottom w:w="99" w:type="dxa"/>
              <w:right w:w="99" w:type="dxa"/>
            </w:tcMar>
          </w:tcPr>
          <w:p w14:paraId="3BD09017" w14:textId="77777777" w:rsidR="002B129E" w:rsidRDefault="009D7423">
            <w:pPr>
              <w:pStyle w:val="normal0"/>
              <w:rPr>
                <w:rFonts w:ascii="Muli" w:eastAsia="Muli" w:hAnsi="Muli" w:cs="Muli"/>
                <w:b/>
                <w:sz w:val="20"/>
                <w:szCs w:val="20"/>
              </w:rPr>
            </w:pPr>
            <w:r>
              <w:rPr>
                <w:rFonts w:ascii="Muli" w:eastAsia="Muli" w:hAnsi="Muli" w:cs="Muli"/>
                <w:b/>
                <w:sz w:val="20"/>
                <w:szCs w:val="20"/>
              </w:rPr>
              <w:t xml:space="preserve">SW1. Phenomena/Problems. </w:t>
            </w:r>
          </w:p>
          <w:p w14:paraId="4B34A004" w14:textId="77777777" w:rsidR="002B129E" w:rsidRDefault="009D7423">
            <w:pPr>
              <w:pStyle w:val="normal0"/>
              <w:rPr>
                <w:rFonts w:ascii="Muli" w:eastAsia="Muli" w:hAnsi="Muli" w:cs="Muli"/>
                <w:color w:val="FFFFFF"/>
                <w:sz w:val="20"/>
                <w:szCs w:val="20"/>
              </w:rPr>
            </w:pPr>
            <w:r>
              <w:rPr>
                <w:rFonts w:ascii="Muli" w:eastAsia="Muli" w:hAnsi="Muli" w:cs="Muli"/>
                <w:sz w:val="20"/>
                <w:szCs w:val="20"/>
              </w:rPr>
              <w:t>The module is strong at providing support and strategies for how to help students figure out authentic and relevant phenomena using the three dimensions.</w:t>
            </w:r>
          </w:p>
        </w:tc>
      </w:tr>
      <w:tr w:rsidR="002B129E" w14:paraId="5093DE96" w14:textId="77777777">
        <w:trPr>
          <w:trHeight w:val="3120"/>
        </w:trPr>
        <w:tc>
          <w:tcPr>
            <w:tcW w:w="9840" w:type="dxa"/>
            <w:shd w:val="clear" w:color="auto" w:fill="FFFFFF"/>
            <w:tcMar>
              <w:top w:w="99" w:type="dxa"/>
              <w:left w:w="99" w:type="dxa"/>
              <w:bottom w:w="99" w:type="dxa"/>
              <w:right w:w="99" w:type="dxa"/>
            </w:tcMar>
          </w:tcPr>
          <w:p w14:paraId="34C9328E"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 xml:space="preserve">Evidence </w:t>
            </w:r>
          </w:p>
          <w:p w14:paraId="25A552EB" w14:textId="77777777" w:rsidR="002B129E" w:rsidRDefault="009D7423">
            <w:pPr>
              <w:pStyle w:val="normal0"/>
              <w:numPr>
                <w:ilvl w:val="0"/>
                <w:numId w:val="13"/>
              </w:numPr>
              <w:contextualSpacing/>
              <w:rPr>
                <w:rFonts w:ascii="Muli" w:eastAsia="Muli" w:hAnsi="Muli" w:cs="Muli"/>
                <w:sz w:val="20"/>
                <w:szCs w:val="20"/>
              </w:rPr>
            </w:pPr>
            <w:r>
              <w:rPr>
                <w:rFonts w:ascii="Muli" w:eastAsia="Muli" w:hAnsi="Muli" w:cs="Muli"/>
                <w:sz w:val="20"/>
                <w:szCs w:val="20"/>
              </w:rPr>
              <w:t xml:space="preserve">The instructional materials have been designed to support the teacher to guide students on a scaffolded learning journey to explore the Module Phenomenon: What happens when we push, pull, and drop objects? How can we change their speed and direction? They </w:t>
            </w:r>
            <w:r>
              <w:rPr>
                <w:rFonts w:ascii="Muli" w:eastAsia="Muli" w:hAnsi="Muli" w:cs="Muli"/>
                <w:sz w:val="20"/>
                <w:szCs w:val="20"/>
              </w:rPr>
              <w:t>tackle the questions one Driving Question at a time, applying the three dimensions with increasing sophistication, building the skills and knowledge they need through a series of investigations.</w:t>
            </w:r>
          </w:p>
          <w:p w14:paraId="526AD956" w14:textId="77777777" w:rsidR="002B129E" w:rsidRDefault="009D7423">
            <w:pPr>
              <w:pStyle w:val="normal0"/>
              <w:numPr>
                <w:ilvl w:val="0"/>
                <w:numId w:val="13"/>
              </w:numPr>
              <w:contextualSpacing/>
              <w:rPr>
                <w:rFonts w:ascii="Muli" w:eastAsia="Muli" w:hAnsi="Muli" w:cs="Muli"/>
                <w:sz w:val="20"/>
                <w:szCs w:val="20"/>
              </w:rPr>
            </w:pPr>
            <w:r>
              <w:rPr>
                <w:rFonts w:ascii="Muli" w:eastAsia="Muli" w:hAnsi="Muli" w:cs="Muli"/>
                <w:sz w:val="20"/>
                <w:szCs w:val="20"/>
              </w:rPr>
              <w:t>The teacher is supported in the instructional material to con</w:t>
            </w:r>
            <w:r>
              <w:rPr>
                <w:rFonts w:ascii="Muli" w:eastAsia="Muli" w:hAnsi="Muli" w:cs="Muli"/>
                <w:sz w:val="20"/>
                <w:szCs w:val="20"/>
              </w:rPr>
              <w:t>nect their learning experiences back to the big idea at strategic points, with class discussions where students share their ideas and evidence for answering the Driving Questions and Module Phenomenon. For example, in DQ1 L2, students share ideas about wha</w:t>
            </w:r>
            <w:r>
              <w:rPr>
                <w:rFonts w:ascii="Muli" w:eastAsia="Muli" w:hAnsi="Muli" w:cs="Muli"/>
                <w:sz w:val="20"/>
                <w:szCs w:val="20"/>
              </w:rPr>
              <w:t xml:space="preserve">t happens when they push or pull objects, answering the first part of the Module Phenomenon </w:t>
            </w:r>
            <w:r>
              <w:rPr>
                <w:rFonts w:ascii="Muli" w:eastAsia="Muli" w:hAnsi="Muli" w:cs="Muli"/>
                <w:b/>
                <w:color w:val="FF126D"/>
                <w:sz w:val="20"/>
                <w:szCs w:val="20"/>
              </w:rPr>
              <w:t>(DQ1L2 Connect TE p. 18)</w:t>
            </w:r>
            <w:r>
              <w:rPr>
                <w:rFonts w:ascii="Muli" w:eastAsia="Muli" w:hAnsi="Muli" w:cs="Muli"/>
                <w:sz w:val="20"/>
                <w:szCs w:val="20"/>
              </w:rPr>
              <w:t>.</w:t>
            </w:r>
            <w:r>
              <w:rPr>
                <w:rFonts w:ascii="Muli" w:eastAsia="Muli" w:hAnsi="Muli" w:cs="Muli"/>
                <w:color w:val="FF0000"/>
                <w:sz w:val="20"/>
                <w:szCs w:val="20"/>
              </w:rPr>
              <w:t xml:space="preserve"> </w:t>
            </w:r>
          </w:p>
        </w:tc>
        <w:tc>
          <w:tcPr>
            <w:tcW w:w="4335" w:type="dxa"/>
            <w:shd w:val="clear" w:color="auto" w:fill="FFFFFF"/>
            <w:tcMar>
              <w:top w:w="99" w:type="dxa"/>
              <w:left w:w="99" w:type="dxa"/>
              <w:bottom w:w="99" w:type="dxa"/>
              <w:right w:w="99" w:type="dxa"/>
            </w:tcMar>
          </w:tcPr>
          <w:p w14:paraId="68209B85" w14:textId="77777777" w:rsidR="002B129E" w:rsidRDefault="009D7423">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23F333E9" wp14:editId="441B3A06">
                  <wp:extent cx="2278254" cy="1566863"/>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278254" cy="1566863"/>
                          </a:xfrm>
                          <a:prstGeom prst="rect">
                            <a:avLst/>
                          </a:prstGeom>
                          <a:ln/>
                        </pic:spPr>
                      </pic:pic>
                    </a:graphicData>
                  </a:graphic>
                </wp:inline>
              </w:drawing>
            </w:r>
          </w:p>
          <w:p w14:paraId="45FB3101" w14:textId="77777777" w:rsidR="002B129E" w:rsidRDefault="009D7423">
            <w:pPr>
              <w:pStyle w:val="normal0"/>
              <w:rPr>
                <w:rFonts w:ascii="Muli" w:eastAsia="Muli" w:hAnsi="Muli" w:cs="Muli"/>
                <w:sz w:val="20"/>
                <w:szCs w:val="20"/>
              </w:rPr>
            </w:pPr>
            <w:r>
              <w:rPr>
                <w:rFonts w:ascii="Muli" w:eastAsia="Muli" w:hAnsi="Muli" w:cs="Muli"/>
                <w:b/>
                <w:color w:val="FF126D"/>
                <w:sz w:val="20"/>
                <w:szCs w:val="20"/>
              </w:rPr>
              <w:t>DQ1L2 Connect TE p. 18</w:t>
            </w:r>
          </w:p>
        </w:tc>
      </w:tr>
      <w:tr w:rsidR="002B129E" w14:paraId="70658CA8" w14:textId="77777777">
        <w:trPr>
          <w:trHeight w:val="400"/>
        </w:trPr>
        <w:tc>
          <w:tcPr>
            <w:tcW w:w="14175" w:type="dxa"/>
            <w:gridSpan w:val="2"/>
            <w:shd w:val="clear" w:color="auto" w:fill="CCCCCC"/>
            <w:tcMar>
              <w:top w:w="99" w:type="dxa"/>
              <w:left w:w="99" w:type="dxa"/>
              <w:bottom w:w="99" w:type="dxa"/>
              <w:right w:w="99" w:type="dxa"/>
            </w:tcMar>
          </w:tcPr>
          <w:p w14:paraId="53CEF78F" w14:textId="77777777" w:rsidR="002B129E" w:rsidRDefault="009D7423">
            <w:pPr>
              <w:pStyle w:val="normal0"/>
              <w:rPr>
                <w:rFonts w:ascii="Muli" w:eastAsia="Muli" w:hAnsi="Muli" w:cs="Muli"/>
                <w:sz w:val="20"/>
                <w:szCs w:val="20"/>
              </w:rPr>
            </w:pPr>
            <w:r>
              <w:rPr>
                <w:rFonts w:ascii="Muli" w:eastAsia="Muli" w:hAnsi="Muli" w:cs="Muli"/>
                <w:b/>
                <w:sz w:val="20"/>
                <w:szCs w:val="20"/>
              </w:rPr>
              <w:t>SW2. Three-dimensional Conceptual Framework.</w:t>
            </w:r>
            <w:r>
              <w:rPr>
                <w:rFonts w:ascii="Muli" w:eastAsia="Muli" w:hAnsi="Muli" w:cs="Muli"/>
                <w:sz w:val="20"/>
                <w:szCs w:val="20"/>
              </w:rPr>
              <w:t xml:space="preserve"> </w:t>
            </w:r>
          </w:p>
          <w:p w14:paraId="45FC0556" w14:textId="77777777" w:rsidR="002B129E" w:rsidRDefault="009D7423">
            <w:pPr>
              <w:pStyle w:val="normal0"/>
              <w:rPr>
                <w:rFonts w:ascii="Muli" w:eastAsia="Muli" w:hAnsi="Muli" w:cs="Muli"/>
                <w:sz w:val="20"/>
                <w:szCs w:val="20"/>
              </w:rPr>
            </w:pPr>
            <w:r>
              <w:rPr>
                <w:rFonts w:ascii="Muli" w:eastAsia="Muli" w:hAnsi="Muli" w:cs="Muli"/>
                <w:sz w:val="20"/>
                <w:szCs w:val="20"/>
              </w:rPr>
              <w:t>The module is strong at providing support for helping students develop a conceptual framework across the dimensions and creating a learning environment that values all students.</w:t>
            </w:r>
          </w:p>
        </w:tc>
      </w:tr>
      <w:tr w:rsidR="002B129E" w14:paraId="0E25BBBA" w14:textId="77777777">
        <w:trPr>
          <w:trHeight w:val="400"/>
        </w:trPr>
        <w:tc>
          <w:tcPr>
            <w:tcW w:w="14175" w:type="dxa"/>
            <w:gridSpan w:val="2"/>
            <w:shd w:val="clear" w:color="auto" w:fill="FFFFFF"/>
            <w:tcMar>
              <w:top w:w="99" w:type="dxa"/>
              <w:left w:w="99" w:type="dxa"/>
              <w:bottom w:w="99" w:type="dxa"/>
              <w:right w:w="99" w:type="dxa"/>
            </w:tcMar>
          </w:tcPr>
          <w:p w14:paraId="02D1EFC3" w14:textId="77777777" w:rsidR="002B129E" w:rsidRDefault="009D7423">
            <w:pPr>
              <w:pStyle w:val="normal0"/>
              <w:rPr>
                <w:rFonts w:ascii="Muli" w:eastAsia="Muli" w:hAnsi="Muli" w:cs="Muli"/>
                <w:sz w:val="20"/>
                <w:szCs w:val="20"/>
              </w:rPr>
            </w:pPr>
            <w:r>
              <w:rPr>
                <w:rFonts w:ascii="Muli" w:eastAsia="Muli" w:hAnsi="Muli" w:cs="Muli"/>
                <w:b/>
                <w:sz w:val="20"/>
                <w:szCs w:val="20"/>
              </w:rPr>
              <w:t>Evidence</w:t>
            </w:r>
          </w:p>
          <w:p w14:paraId="4AE7C084" w14:textId="77777777" w:rsidR="002B129E" w:rsidRDefault="009D7423">
            <w:pPr>
              <w:pStyle w:val="normal0"/>
              <w:numPr>
                <w:ilvl w:val="0"/>
                <w:numId w:val="24"/>
              </w:numPr>
              <w:contextualSpacing/>
              <w:rPr>
                <w:rFonts w:ascii="Muli" w:eastAsia="Muli" w:hAnsi="Muli" w:cs="Muli"/>
                <w:sz w:val="20"/>
                <w:szCs w:val="20"/>
              </w:rPr>
            </w:pPr>
            <w:r>
              <w:rPr>
                <w:rFonts w:ascii="Muli" w:eastAsia="Muli" w:hAnsi="Muli" w:cs="Muli"/>
                <w:sz w:val="20"/>
                <w:szCs w:val="20"/>
              </w:rPr>
              <w:t>The instructional materials are designed to elicit students’ understanding of forces and motion at the start of the module and then develop their understanding over time, through hands-on and reading investigations.  Students follow a sequence of Driving Q</w:t>
            </w:r>
            <w:r>
              <w:rPr>
                <w:rFonts w:ascii="Muli" w:eastAsia="Muli" w:hAnsi="Muli" w:cs="Muli"/>
                <w:sz w:val="20"/>
                <w:szCs w:val="20"/>
              </w:rPr>
              <w:t xml:space="preserve">uestions designed to progressively build their skills and scientifically accurate understandings. </w:t>
            </w:r>
          </w:p>
          <w:p w14:paraId="37D15608" w14:textId="77777777" w:rsidR="002B129E" w:rsidRDefault="009D7423">
            <w:pPr>
              <w:pStyle w:val="normal0"/>
              <w:numPr>
                <w:ilvl w:val="0"/>
                <w:numId w:val="31"/>
              </w:numPr>
              <w:contextualSpacing/>
              <w:rPr>
                <w:rFonts w:ascii="Muli" w:eastAsia="Muli" w:hAnsi="Muli" w:cs="Muli"/>
                <w:sz w:val="20"/>
                <w:szCs w:val="20"/>
              </w:rPr>
            </w:pPr>
            <w:r>
              <w:rPr>
                <w:rFonts w:ascii="Muli" w:eastAsia="Muli" w:hAnsi="Muli" w:cs="Muli"/>
                <w:sz w:val="20"/>
                <w:szCs w:val="20"/>
              </w:rPr>
              <w:t xml:space="preserve">Opportunities for students to articulate, question, and revise their conceptual framework are woven into the instructional resources, supporting teachers to </w:t>
            </w:r>
            <w:r>
              <w:rPr>
                <w:rFonts w:ascii="Muli" w:eastAsia="Muli" w:hAnsi="Muli" w:cs="Muli"/>
                <w:sz w:val="20"/>
                <w:szCs w:val="20"/>
              </w:rPr>
              <w:t>assess the progression of their scientifically accurate understandings. Strategies on how to tailor instruction for students who require more support are provided for teachers. For example, in DQ3, students use what they have learned about forces and motio</w:t>
            </w:r>
            <w:r>
              <w:rPr>
                <w:rFonts w:ascii="Muli" w:eastAsia="Muli" w:hAnsi="Muli" w:cs="Muli"/>
                <w:sz w:val="20"/>
                <w:szCs w:val="20"/>
              </w:rPr>
              <w:t>n as they predict how a marble will travel through a marble run before testing it. They define a design problem, develop a model based on their learning, and build, test, and revise their marble runs. They present their marble runs to the class and use the</w:t>
            </w:r>
            <w:r>
              <w:rPr>
                <w:rFonts w:ascii="Muli" w:eastAsia="Muli" w:hAnsi="Muli" w:cs="Muli"/>
                <w:sz w:val="20"/>
                <w:szCs w:val="20"/>
              </w:rPr>
              <w:t xml:space="preserve">ir understanding of the Module Phenomenon to explain how the marble moves through their design. This allows teachers to gain an understanding of how much progress students have made. </w:t>
            </w:r>
          </w:p>
          <w:p w14:paraId="74DE45B9" w14:textId="77777777" w:rsidR="002B129E" w:rsidRDefault="009D7423">
            <w:pPr>
              <w:pStyle w:val="normal0"/>
              <w:numPr>
                <w:ilvl w:val="0"/>
                <w:numId w:val="31"/>
              </w:numPr>
              <w:contextualSpacing/>
              <w:rPr>
                <w:rFonts w:ascii="Muli" w:eastAsia="Muli" w:hAnsi="Muli" w:cs="Muli"/>
                <w:sz w:val="20"/>
                <w:szCs w:val="20"/>
              </w:rPr>
            </w:pPr>
            <w:r>
              <w:rPr>
                <w:rFonts w:ascii="Muli" w:eastAsia="Muli" w:hAnsi="Muli" w:cs="Muli"/>
                <w:sz w:val="20"/>
                <w:szCs w:val="20"/>
              </w:rPr>
              <w:t>Support is given for how to create a positive learning environment where</w:t>
            </w:r>
            <w:r>
              <w:rPr>
                <w:rFonts w:ascii="Muli" w:eastAsia="Muli" w:hAnsi="Muli" w:cs="Muli"/>
                <w:sz w:val="20"/>
                <w:szCs w:val="20"/>
              </w:rPr>
              <w:t xml:space="preserve"> all contributions are valued along with activities that support teamwork and collaboration. For example, the teacher is prompted to praise thoughtful answers when students share ideas (DQ1L1 TE p. </w:t>
            </w:r>
            <w:r>
              <w:rPr>
                <w:rFonts w:ascii="Muli" w:eastAsia="Muli" w:hAnsi="Muli" w:cs="Muli"/>
                <w:sz w:val="20"/>
                <w:szCs w:val="20"/>
              </w:rPr>
              <w:lastRenderedPageBreak/>
              <w:t>10). Many of the activities involve students working in pa</w:t>
            </w:r>
            <w:r>
              <w:rPr>
                <w:rFonts w:ascii="Muli" w:eastAsia="Muli" w:hAnsi="Muli" w:cs="Muli"/>
                <w:sz w:val="20"/>
                <w:szCs w:val="20"/>
              </w:rPr>
              <w:t>irs and teams. Students understand what effective teamwork looks and feels like, as they were introduced to the Our Scientist Song video in Grade K Module 1 and learned that they need to share tools and treat each other kindly. Students revisit the song tw</w:t>
            </w:r>
            <w:r>
              <w:rPr>
                <w:rFonts w:ascii="Muli" w:eastAsia="Muli" w:hAnsi="Muli" w:cs="Muli"/>
                <w:sz w:val="20"/>
                <w:szCs w:val="20"/>
              </w:rPr>
              <w:t>ice in Grade K Module 2, in DQ1L9 TE p. 64 and DQ3L4 TE p. 154. Throughout the module, students are given many opportunities to support each other. For example, students are led to understand that talking through ideas with a partner helped them understand</w:t>
            </w:r>
            <w:r>
              <w:rPr>
                <w:rFonts w:ascii="Muli" w:eastAsia="Muli" w:hAnsi="Muli" w:cs="Muli"/>
                <w:sz w:val="20"/>
                <w:szCs w:val="20"/>
              </w:rPr>
              <w:t xml:space="preserve"> their own ideas better (DQ1L4 TE p. 34). Students are also reminded to listen carefully and quietly, respecting the speaker, as their classmates present their marble runs (DQ3L6 TE p. 166).</w:t>
            </w:r>
          </w:p>
        </w:tc>
      </w:tr>
      <w:tr w:rsidR="002B129E" w14:paraId="4B7039CD" w14:textId="77777777">
        <w:trPr>
          <w:trHeight w:val="400"/>
        </w:trPr>
        <w:tc>
          <w:tcPr>
            <w:tcW w:w="14175" w:type="dxa"/>
            <w:gridSpan w:val="2"/>
            <w:shd w:val="clear" w:color="auto" w:fill="CCCCCC"/>
            <w:tcMar>
              <w:top w:w="99" w:type="dxa"/>
              <w:left w:w="99" w:type="dxa"/>
              <w:bottom w:w="99" w:type="dxa"/>
              <w:right w:w="99" w:type="dxa"/>
            </w:tcMar>
          </w:tcPr>
          <w:p w14:paraId="589F893D" w14:textId="77777777" w:rsidR="002B129E" w:rsidRDefault="009D7423">
            <w:pPr>
              <w:pStyle w:val="normal0"/>
              <w:rPr>
                <w:rFonts w:ascii="Muli" w:eastAsia="Muli" w:hAnsi="Muli" w:cs="Muli"/>
                <w:b/>
                <w:sz w:val="20"/>
                <w:szCs w:val="20"/>
              </w:rPr>
            </w:pPr>
            <w:r>
              <w:rPr>
                <w:rFonts w:ascii="Muli" w:eastAsia="Muli" w:hAnsi="Muli" w:cs="Muli"/>
                <w:b/>
                <w:sz w:val="20"/>
                <w:szCs w:val="20"/>
              </w:rPr>
              <w:lastRenderedPageBreak/>
              <w:t xml:space="preserve">SW3. Prior Knowledge. </w:t>
            </w:r>
          </w:p>
          <w:p w14:paraId="7B60CB9D" w14:textId="77777777" w:rsidR="002B129E" w:rsidRDefault="009D7423">
            <w:pPr>
              <w:pStyle w:val="normal0"/>
              <w:rPr>
                <w:rFonts w:ascii="Muli" w:eastAsia="Muli" w:hAnsi="Muli" w:cs="Muli"/>
                <w:b/>
                <w:sz w:val="20"/>
                <w:szCs w:val="20"/>
              </w:rPr>
            </w:pPr>
            <w:r>
              <w:rPr>
                <w:rFonts w:ascii="Muli" w:eastAsia="Muli" w:hAnsi="Muli" w:cs="Muli"/>
                <w:sz w:val="20"/>
                <w:szCs w:val="20"/>
              </w:rPr>
              <w:t>The module provides strong support and st</w:t>
            </w:r>
            <w:r>
              <w:rPr>
                <w:rFonts w:ascii="Muli" w:eastAsia="Muli" w:hAnsi="Muli" w:cs="Muli"/>
                <w:sz w:val="20"/>
                <w:szCs w:val="20"/>
              </w:rPr>
              <w:t>rategies to leverage students’ prior knowledge and experiences to motivate learning.</w:t>
            </w:r>
          </w:p>
        </w:tc>
      </w:tr>
      <w:tr w:rsidR="002B129E" w14:paraId="3860DA73" w14:textId="77777777">
        <w:trPr>
          <w:trHeight w:val="400"/>
        </w:trPr>
        <w:tc>
          <w:tcPr>
            <w:tcW w:w="14175" w:type="dxa"/>
            <w:gridSpan w:val="2"/>
            <w:shd w:val="clear" w:color="auto" w:fill="FFFFFF"/>
            <w:tcMar>
              <w:top w:w="99" w:type="dxa"/>
              <w:left w:w="99" w:type="dxa"/>
              <w:bottom w:w="99" w:type="dxa"/>
              <w:right w:w="99" w:type="dxa"/>
            </w:tcMar>
          </w:tcPr>
          <w:p w14:paraId="2B663960"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0BB3F1CB" w14:textId="77777777" w:rsidR="002B129E" w:rsidRDefault="009D7423">
            <w:pPr>
              <w:pStyle w:val="normal0"/>
              <w:numPr>
                <w:ilvl w:val="0"/>
                <w:numId w:val="5"/>
              </w:numPr>
              <w:contextualSpacing/>
              <w:rPr>
                <w:rFonts w:ascii="Muli" w:eastAsia="Muli" w:hAnsi="Muli" w:cs="Muli"/>
                <w:sz w:val="20"/>
                <w:szCs w:val="20"/>
              </w:rPr>
            </w:pPr>
            <w:r>
              <w:rPr>
                <w:rFonts w:ascii="Muli" w:eastAsia="Muli" w:hAnsi="Muli" w:cs="Muli"/>
                <w:sz w:val="20"/>
                <w:szCs w:val="20"/>
              </w:rPr>
              <w:t>Teachers are supported with strategies to leverage prior knowledge of movement through resources such as a Prior-Knowledge Read-Aloud in DQ1L2 Spark TE p. 16.</w:t>
            </w:r>
          </w:p>
          <w:p w14:paraId="114FAB07" w14:textId="77777777" w:rsidR="002B129E" w:rsidRDefault="009D7423">
            <w:pPr>
              <w:pStyle w:val="normal0"/>
              <w:numPr>
                <w:ilvl w:val="0"/>
                <w:numId w:val="5"/>
              </w:numPr>
              <w:contextualSpacing/>
              <w:rPr>
                <w:rFonts w:ascii="Muli" w:eastAsia="Muli" w:hAnsi="Muli" w:cs="Muli"/>
                <w:sz w:val="20"/>
                <w:szCs w:val="20"/>
              </w:rPr>
            </w:pPr>
            <w:r>
              <w:rPr>
                <w:rFonts w:ascii="Muli" w:eastAsia="Muli" w:hAnsi="Muli" w:cs="Muli"/>
                <w:sz w:val="20"/>
                <w:szCs w:val="20"/>
              </w:rPr>
              <w:t>Additional support at provided at point of use for strategies to leverage prior knowledge and answer the Module Phenomenon. For example, the teacher is prompted to remind students that, in Kindergarten Module 1, they learned about cause and effect (DQ1L5 T</w:t>
            </w:r>
            <w:r>
              <w:rPr>
                <w:rFonts w:ascii="Muli" w:eastAsia="Muli" w:hAnsi="Muli" w:cs="Muli"/>
                <w:sz w:val="20"/>
                <w:szCs w:val="20"/>
              </w:rPr>
              <w:t>E p. 41), and claims and evidence (DQ2L3 TE p. 100).</w:t>
            </w:r>
          </w:p>
        </w:tc>
      </w:tr>
      <w:tr w:rsidR="002B129E" w14:paraId="623D6254" w14:textId="77777777">
        <w:trPr>
          <w:trHeight w:val="400"/>
        </w:trPr>
        <w:tc>
          <w:tcPr>
            <w:tcW w:w="14175" w:type="dxa"/>
            <w:gridSpan w:val="2"/>
            <w:shd w:val="clear" w:color="auto" w:fill="CCCCCC"/>
            <w:tcMar>
              <w:top w:w="99" w:type="dxa"/>
              <w:left w:w="99" w:type="dxa"/>
              <w:bottom w:w="99" w:type="dxa"/>
              <w:right w:w="99" w:type="dxa"/>
            </w:tcMar>
          </w:tcPr>
          <w:p w14:paraId="76A93C60" w14:textId="77777777" w:rsidR="002B129E" w:rsidRDefault="009D7423">
            <w:pPr>
              <w:pStyle w:val="normal0"/>
              <w:rPr>
                <w:rFonts w:ascii="Muli" w:eastAsia="Muli" w:hAnsi="Muli" w:cs="Muli"/>
                <w:b/>
                <w:sz w:val="20"/>
                <w:szCs w:val="20"/>
              </w:rPr>
            </w:pPr>
            <w:r>
              <w:rPr>
                <w:rFonts w:ascii="Muli" w:eastAsia="Muli" w:hAnsi="Muli" w:cs="Muli"/>
                <w:b/>
                <w:sz w:val="20"/>
                <w:szCs w:val="20"/>
              </w:rPr>
              <w:t xml:space="preserve">SW4. Metacognitive Abilities. </w:t>
            </w:r>
          </w:p>
          <w:p w14:paraId="557E1D78" w14:textId="77777777" w:rsidR="002B129E" w:rsidRDefault="009D7423">
            <w:pPr>
              <w:pStyle w:val="normal0"/>
              <w:rPr>
                <w:rFonts w:ascii="Muli" w:eastAsia="Muli" w:hAnsi="Muli" w:cs="Muli"/>
                <w:b/>
                <w:sz w:val="20"/>
                <w:szCs w:val="20"/>
              </w:rPr>
            </w:pPr>
            <w:r>
              <w:rPr>
                <w:rFonts w:ascii="Muli" w:eastAsia="Muli" w:hAnsi="Muli" w:cs="Muli"/>
                <w:sz w:val="20"/>
                <w:szCs w:val="20"/>
              </w:rPr>
              <w:t>The module provides strong support and strategies for how to help students develop metacognitive abilities.</w:t>
            </w:r>
          </w:p>
        </w:tc>
      </w:tr>
      <w:tr w:rsidR="002B129E" w14:paraId="74BD7CE6" w14:textId="77777777">
        <w:trPr>
          <w:trHeight w:val="400"/>
        </w:trPr>
        <w:tc>
          <w:tcPr>
            <w:tcW w:w="9840" w:type="dxa"/>
            <w:shd w:val="clear" w:color="auto" w:fill="FFFFFF"/>
            <w:tcMar>
              <w:top w:w="99" w:type="dxa"/>
              <w:left w:w="99" w:type="dxa"/>
              <w:bottom w:w="99" w:type="dxa"/>
              <w:right w:w="99" w:type="dxa"/>
            </w:tcMar>
          </w:tcPr>
          <w:p w14:paraId="67F21345" w14:textId="77777777" w:rsidR="002B129E" w:rsidRDefault="009D7423">
            <w:pPr>
              <w:pStyle w:val="normal0"/>
              <w:rPr>
                <w:rFonts w:ascii="Muli" w:eastAsia="Muli" w:hAnsi="Muli" w:cs="Muli"/>
                <w:b/>
                <w:sz w:val="20"/>
                <w:szCs w:val="20"/>
              </w:rPr>
            </w:pPr>
            <w:r>
              <w:rPr>
                <w:rFonts w:ascii="Muli" w:eastAsia="Muli" w:hAnsi="Muli" w:cs="Muli"/>
                <w:b/>
                <w:sz w:val="20"/>
                <w:szCs w:val="20"/>
              </w:rPr>
              <w:t xml:space="preserve">Evidence </w:t>
            </w:r>
          </w:p>
          <w:p w14:paraId="4CDA2757" w14:textId="77777777" w:rsidR="002B129E" w:rsidRDefault="009D7423">
            <w:pPr>
              <w:pStyle w:val="normal0"/>
              <w:numPr>
                <w:ilvl w:val="0"/>
                <w:numId w:val="22"/>
              </w:numPr>
              <w:contextualSpacing/>
              <w:rPr>
                <w:rFonts w:ascii="Muli" w:eastAsia="Muli" w:hAnsi="Muli" w:cs="Muli"/>
                <w:sz w:val="20"/>
                <w:szCs w:val="20"/>
              </w:rPr>
            </w:pPr>
            <w:r>
              <w:rPr>
                <w:rFonts w:ascii="Muli" w:eastAsia="Muli" w:hAnsi="Muli" w:cs="Muli"/>
                <w:sz w:val="20"/>
                <w:szCs w:val="20"/>
              </w:rPr>
              <w:t xml:space="preserve">Support is given at point of use for how to develop </w:t>
            </w:r>
            <w:r>
              <w:rPr>
                <w:rFonts w:ascii="Muli" w:eastAsia="Muli" w:hAnsi="Muli" w:cs="Muli"/>
                <w:sz w:val="20"/>
                <w:szCs w:val="20"/>
              </w:rPr>
              <w:t>students’ metacognitive abilities. The Connect of the lesson often guides the teacher to draw students’ attention to their growing use of the SEPs and CCCs, understanding of the Driving Question, or ability to solve the Module Phenomenon. For example, in D</w:t>
            </w:r>
            <w:r>
              <w:rPr>
                <w:rFonts w:ascii="Muli" w:eastAsia="Muli" w:hAnsi="Muli" w:cs="Muli"/>
                <w:sz w:val="20"/>
                <w:szCs w:val="20"/>
              </w:rPr>
              <w:t xml:space="preserve">Q1L8 the teacher is supported to help students identify their use of SEP-3, SEP-4, and SEP-8 </w:t>
            </w:r>
            <w:r>
              <w:rPr>
                <w:rFonts w:ascii="Muli" w:eastAsia="Muli" w:hAnsi="Muli" w:cs="Muli"/>
                <w:b/>
                <w:color w:val="FF126D"/>
                <w:sz w:val="20"/>
                <w:szCs w:val="20"/>
              </w:rPr>
              <w:t>(DQ1L8 Connect TE p. 60)</w:t>
            </w:r>
            <w:r>
              <w:rPr>
                <w:rFonts w:ascii="Muli" w:eastAsia="Muli" w:hAnsi="Muli" w:cs="Muli"/>
                <w:sz w:val="20"/>
                <w:szCs w:val="20"/>
              </w:rPr>
              <w:t xml:space="preserve">, and in DQ1L10 students answer the Driving Question (DQ1L10 TE p. 75). </w:t>
            </w:r>
          </w:p>
        </w:tc>
        <w:tc>
          <w:tcPr>
            <w:tcW w:w="4335" w:type="dxa"/>
            <w:shd w:val="clear" w:color="auto" w:fill="FFFFFF"/>
            <w:tcMar>
              <w:top w:w="99" w:type="dxa"/>
              <w:left w:w="99" w:type="dxa"/>
              <w:bottom w:w="99" w:type="dxa"/>
              <w:right w:w="99" w:type="dxa"/>
            </w:tcMar>
          </w:tcPr>
          <w:p w14:paraId="6824164F" w14:textId="77777777" w:rsidR="002B129E" w:rsidRDefault="009D742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38DE3DA" wp14:editId="556AFCB5">
                  <wp:extent cx="2444750" cy="1038225"/>
                  <wp:effectExtent l="12700" t="12700" r="12700" b="127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6666" b="22142"/>
                          <a:stretch>
                            <a:fillRect/>
                          </a:stretch>
                        </pic:blipFill>
                        <pic:spPr>
                          <a:xfrm>
                            <a:off x="0" y="0"/>
                            <a:ext cx="2444750" cy="1038225"/>
                          </a:xfrm>
                          <a:prstGeom prst="rect">
                            <a:avLst/>
                          </a:prstGeom>
                          <a:ln w="12700">
                            <a:solidFill>
                              <a:srgbClr val="CCCCCC"/>
                            </a:solidFill>
                            <a:prstDash val="solid"/>
                          </a:ln>
                        </pic:spPr>
                      </pic:pic>
                    </a:graphicData>
                  </a:graphic>
                </wp:inline>
              </w:drawing>
            </w:r>
          </w:p>
          <w:p w14:paraId="4B78CF82" w14:textId="77777777" w:rsidR="002B129E" w:rsidRDefault="009D7423">
            <w:pPr>
              <w:pStyle w:val="normal0"/>
            </w:pPr>
            <w:r>
              <w:rPr>
                <w:rFonts w:ascii="Muli" w:eastAsia="Muli" w:hAnsi="Muli" w:cs="Muli"/>
                <w:b/>
                <w:color w:val="FF126D"/>
                <w:sz w:val="20"/>
                <w:szCs w:val="20"/>
              </w:rPr>
              <w:t>DQ1L8 Connect TE p. 60</w:t>
            </w:r>
          </w:p>
        </w:tc>
      </w:tr>
      <w:tr w:rsidR="002B129E" w14:paraId="7597B61F" w14:textId="77777777">
        <w:trPr>
          <w:trHeight w:val="400"/>
        </w:trPr>
        <w:tc>
          <w:tcPr>
            <w:tcW w:w="9840" w:type="dxa"/>
            <w:shd w:val="clear" w:color="auto" w:fill="FFFFFF"/>
            <w:tcMar>
              <w:top w:w="99" w:type="dxa"/>
              <w:left w:w="99" w:type="dxa"/>
              <w:bottom w:w="99" w:type="dxa"/>
              <w:right w:w="99" w:type="dxa"/>
            </w:tcMar>
          </w:tcPr>
          <w:p w14:paraId="246D791F" w14:textId="77777777" w:rsidR="002B129E" w:rsidRDefault="009D7423">
            <w:pPr>
              <w:pStyle w:val="normal0"/>
              <w:numPr>
                <w:ilvl w:val="0"/>
                <w:numId w:val="22"/>
              </w:numPr>
              <w:contextualSpacing/>
              <w:rPr>
                <w:rFonts w:ascii="Muli" w:eastAsia="Muli" w:hAnsi="Muli" w:cs="Muli"/>
                <w:sz w:val="20"/>
                <w:szCs w:val="20"/>
              </w:rPr>
            </w:pPr>
            <w:r>
              <w:rPr>
                <w:rFonts w:ascii="Muli" w:eastAsia="Muli" w:hAnsi="Muli" w:cs="Muli"/>
                <w:sz w:val="20"/>
                <w:szCs w:val="20"/>
              </w:rPr>
              <w:lastRenderedPageBreak/>
              <w:t xml:space="preserve">Discussions following a diagnostic pre-assessment (Pre-Exploration) in DQ1 support teachers to track students’ understanding of the three dimensions that make up the module’s PEs. For examples, see: DQ1L5 TE Spark p. 38, DQ1L5 Investigate TE p. 40, and </w:t>
            </w:r>
            <w:r>
              <w:rPr>
                <w:rFonts w:ascii="Muli" w:eastAsia="Muli" w:hAnsi="Muli" w:cs="Muli"/>
                <w:b/>
                <w:color w:val="FF126D"/>
                <w:sz w:val="20"/>
                <w:szCs w:val="20"/>
              </w:rPr>
              <w:t>DQ1</w:t>
            </w:r>
            <w:r>
              <w:rPr>
                <w:rFonts w:ascii="Muli" w:eastAsia="Muli" w:hAnsi="Muli" w:cs="Muli"/>
                <w:b/>
                <w:color w:val="FF126D"/>
                <w:sz w:val="20"/>
                <w:szCs w:val="20"/>
              </w:rPr>
              <w:t>L9 Connect TE p. 68)</w:t>
            </w:r>
            <w:r>
              <w:rPr>
                <w:rFonts w:ascii="Muli" w:eastAsia="Muli" w:hAnsi="Muli" w:cs="Muli"/>
                <w:sz w:val="20"/>
                <w:szCs w:val="20"/>
              </w:rPr>
              <w:t xml:space="preserve">. </w:t>
            </w:r>
          </w:p>
        </w:tc>
        <w:tc>
          <w:tcPr>
            <w:tcW w:w="4335" w:type="dxa"/>
            <w:shd w:val="clear" w:color="auto" w:fill="FFFFFF"/>
            <w:tcMar>
              <w:top w:w="99" w:type="dxa"/>
              <w:left w:w="99" w:type="dxa"/>
              <w:bottom w:w="99" w:type="dxa"/>
              <w:right w:w="99" w:type="dxa"/>
            </w:tcMar>
          </w:tcPr>
          <w:p w14:paraId="16CC4D97" w14:textId="77777777" w:rsidR="002B129E" w:rsidRDefault="009D742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46D95C8" wp14:editId="7B17CDF4">
                  <wp:extent cx="2460625" cy="3009900"/>
                  <wp:effectExtent l="12700" t="12700" r="12700" b="127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6060"/>
                          <a:stretch>
                            <a:fillRect/>
                          </a:stretch>
                        </pic:blipFill>
                        <pic:spPr>
                          <a:xfrm>
                            <a:off x="0" y="0"/>
                            <a:ext cx="2460625" cy="3009900"/>
                          </a:xfrm>
                          <a:prstGeom prst="rect">
                            <a:avLst/>
                          </a:prstGeom>
                          <a:ln w="12700">
                            <a:solidFill>
                              <a:srgbClr val="D9D9D9"/>
                            </a:solidFill>
                            <a:prstDash val="solid"/>
                          </a:ln>
                        </pic:spPr>
                      </pic:pic>
                    </a:graphicData>
                  </a:graphic>
                </wp:inline>
              </w:drawing>
            </w:r>
          </w:p>
          <w:p w14:paraId="36C95D97" w14:textId="77777777" w:rsidR="002B129E" w:rsidRDefault="002B129E">
            <w:pPr>
              <w:pStyle w:val="normal0"/>
              <w:rPr>
                <w:rFonts w:ascii="Muli" w:eastAsia="Muli" w:hAnsi="Muli" w:cs="Muli"/>
                <w:b/>
                <w:color w:val="FF126D"/>
                <w:sz w:val="20"/>
                <w:szCs w:val="20"/>
              </w:rPr>
            </w:pPr>
          </w:p>
          <w:p w14:paraId="66184B7C"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DQ1 L9 Connect TE p. 68</w:t>
            </w:r>
          </w:p>
          <w:p w14:paraId="4D14C7E3" w14:textId="77777777" w:rsidR="002B129E" w:rsidRDefault="002B129E">
            <w:pPr>
              <w:pStyle w:val="normal0"/>
              <w:rPr>
                <w:rFonts w:ascii="Muli" w:eastAsia="Muli" w:hAnsi="Muli" w:cs="Muli"/>
                <w:b/>
                <w:color w:val="FF126D"/>
                <w:sz w:val="20"/>
                <w:szCs w:val="20"/>
              </w:rPr>
            </w:pPr>
          </w:p>
          <w:p w14:paraId="31452243" w14:textId="77777777" w:rsidR="002B129E" w:rsidRDefault="002B129E">
            <w:pPr>
              <w:pStyle w:val="normal0"/>
              <w:rPr>
                <w:rFonts w:ascii="Muli" w:eastAsia="Muli" w:hAnsi="Muli" w:cs="Muli"/>
                <w:b/>
                <w:color w:val="FF126D"/>
                <w:sz w:val="20"/>
                <w:szCs w:val="20"/>
              </w:rPr>
            </w:pPr>
          </w:p>
          <w:p w14:paraId="4440332A" w14:textId="77777777" w:rsidR="002B129E" w:rsidRDefault="002B129E">
            <w:pPr>
              <w:pStyle w:val="normal0"/>
              <w:rPr>
                <w:rFonts w:ascii="Muli" w:eastAsia="Muli" w:hAnsi="Muli" w:cs="Muli"/>
                <w:b/>
                <w:color w:val="FF126D"/>
                <w:sz w:val="20"/>
                <w:szCs w:val="20"/>
              </w:rPr>
            </w:pPr>
          </w:p>
          <w:p w14:paraId="6DF7AF64" w14:textId="77777777" w:rsidR="002B129E" w:rsidRDefault="002B129E">
            <w:pPr>
              <w:pStyle w:val="normal0"/>
              <w:rPr>
                <w:rFonts w:ascii="Muli" w:eastAsia="Muli" w:hAnsi="Muli" w:cs="Muli"/>
                <w:b/>
                <w:color w:val="FF126D"/>
                <w:sz w:val="20"/>
                <w:szCs w:val="20"/>
              </w:rPr>
            </w:pPr>
          </w:p>
          <w:p w14:paraId="52108710" w14:textId="77777777" w:rsidR="002B129E" w:rsidRDefault="002B129E">
            <w:pPr>
              <w:pStyle w:val="normal0"/>
              <w:rPr>
                <w:rFonts w:ascii="Muli" w:eastAsia="Muli" w:hAnsi="Muli" w:cs="Muli"/>
                <w:b/>
                <w:color w:val="FF126D"/>
                <w:sz w:val="20"/>
                <w:szCs w:val="20"/>
              </w:rPr>
            </w:pPr>
          </w:p>
          <w:p w14:paraId="5F1A54D7" w14:textId="77777777" w:rsidR="002B129E" w:rsidRDefault="002B129E">
            <w:pPr>
              <w:pStyle w:val="normal0"/>
              <w:rPr>
                <w:rFonts w:ascii="Muli" w:eastAsia="Muli" w:hAnsi="Muli" w:cs="Muli"/>
                <w:b/>
                <w:color w:val="FF126D"/>
                <w:sz w:val="20"/>
                <w:szCs w:val="20"/>
              </w:rPr>
            </w:pPr>
          </w:p>
          <w:p w14:paraId="1035A8C1" w14:textId="77777777" w:rsidR="002B129E" w:rsidRDefault="002B129E">
            <w:pPr>
              <w:pStyle w:val="normal0"/>
              <w:rPr>
                <w:rFonts w:ascii="Muli" w:eastAsia="Muli" w:hAnsi="Muli" w:cs="Muli"/>
                <w:b/>
                <w:color w:val="FF126D"/>
                <w:sz w:val="20"/>
                <w:szCs w:val="20"/>
              </w:rPr>
            </w:pPr>
          </w:p>
        </w:tc>
      </w:tr>
      <w:tr w:rsidR="002B129E" w14:paraId="11D51790" w14:textId="77777777">
        <w:trPr>
          <w:trHeight w:val="400"/>
        </w:trPr>
        <w:tc>
          <w:tcPr>
            <w:tcW w:w="9840" w:type="dxa"/>
            <w:shd w:val="clear" w:color="auto" w:fill="FFFFFF"/>
            <w:tcMar>
              <w:top w:w="99" w:type="dxa"/>
              <w:left w:w="99" w:type="dxa"/>
              <w:bottom w:w="99" w:type="dxa"/>
              <w:right w:w="99" w:type="dxa"/>
            </w:tcMar>
          </w:tcPr>
          <w:p w14:paraId="5832C470" w14:textId="77777777" w:rsidR="002B129E" w:rsidRDefault="009D7423">
            <w:pPr>
              <w:pStyle w:val="normal0"/>
              <w:numPr>
                <w:ilvl w:val="0"/>
                <w:numId w:val="22"/>
              </w:numPr>
              <w:rPr>
                <w:rFonts w:ascii="Muli" w:eastAsia="Muli" w:hAnsi="Muli" w:cs="Muli"/>
                <w:sz w:val="20"/>
                <w:szCs w:val="20"/>
              </w:rPr>
            </w:pPr>
            <w:r>
              <w:rPr>
                <w:rFonts w:ascii="Muli" w:eastAsia="Muli" w:hAnsi="Muli" w:cs="Muli"/>
                <w:sz w:val="20"/>
                <w:szCs w:val="20"/>
              </w:rPr>
              <w:t xml:space="preserve">Meta-Think-Aloud Language Routines </w:t>
            </w:r>
            <w:r>
              <w:rPr>
                <w:rFonts w:ascii="Muli" w:eastAsia="Muli" w:hAnsi="Muli" w:cs="Muli"/>
                <w:b/>
                <w:color w:val="FF126D"/>
                <w:sz w:val="20"/>
                <w:szCs w:val="20"/>
              </w:rPr>
              <w:t xml:space="preserve">(DQ1L6 TE p. 45) </w:t>
            </w:r>
            <w:r>
              <w:rPr>
                <w:rFonts w:ascii="Muli" w:eastAsia="Muli" w:hAnsi="Muli" w:cs="Muli"/>
                <w:sz w:val="20"/>
                <w:szCs w:val="20"/>
              </w:rPr>
              <w:t>support teachers in helping students develop an understanding of how they learn particular concepts or why they approach activities in certain way</w:t>
            </w:r>
            <w:r>
              <w:rPr>
                <w:rFonts w:ascii="Muli" w:eastAsia="Muli" w:hAnsi="Muli" w:cs="Muli"/>
                <w:sz w:val="20"/>
                <w:szCs w:val="20"/>
              </w:rPr>
              <w:t>s. For example, in DQ1L6, guidance is provided to help the teacher analyze the Change Direction visual for students, explicitly pointing out key aspects of the image and their significance.</w:t>
            </w:r>
          </w:p>
        </w:tc>
        <w:tc>
          <w:tcPr>
            <w:tcW w:w="4335" w:type="dxa"/>
            <w:shd w:val="clear" w:color="auto" w:fill="FFFFFF"/>
            <w:tcMar>
              <w:top w:w="99" w:type="dxa"/>
              <w:left w:w="99" w:type="dxa"/>
              <w:bottom w:w="99" w:type="dxa"/>
              <w:right w:w="99" w:type="dxa"/>
            </w:tcMar>
          </w:tcPr>
          <w:p w14:paraId="2EA6DC39" w14:textId="77777777" w:rsidR="002B129E" w:rsidRDefault="009D7423">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B450199" wp14:editId="015B4372">
                  <wp:extent cx="2546350" cy="1457325"/>
                  <wp:effectExtent l="12700" t="12700" r="12700" b="1270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2787"/>
                          <a:stretch>
                            <a:fillRect/>
                          </a:stretch>
                        </pic:blipFill>
                        <pic:spPr>
                          <a:xfrm>
                            <a:off x="0" y="0"/>
                            <a:ext cx="2546350" cy="1457325"/>
                          </a:xfrm>
                          <a:prstGeom prst="rect">
                            <a:avLst/>
                          </a:prstGeom>
                          <a:ln w="12700">
                            <a:solidFill>
                              <a:srgbClr val="CCCCCC"/>
                            </a:solidFill>
                            <a:prstDash val="solid"/>
                          </a:ln>
                        </pic:spPr>
                      </pic:pic>
                    </a:graphicData>
                  </a:graphic>
                </wp:inline>
              </w:drawing>
            </w:r>
          </w:p>
          <w:p w14:paraId="525B40E3"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Meta-Think-Aloud (DQ1L6 TE p. 45)</w:t>
            </w:r>
          </w:p>
        </w:tc>
      </w:tr>
      <w:tr w:rsidR="002B129E" w14:paraId="287990E0" w14:textId="77777777">
        <w:trPr>
          <w:trHeight w:val="400"/>
        </w:trPr>
        <w:tc>
          <w:tcPr>
            <w:tcW w:w="14175" w:type="dxa"/>
            <w:gridSpan w:val="2"/>
            <w:shd w:val="clear" w:color="auto" w:fill="CCCCCC"/>
            <w:tcMar>
              <w:top w:w="99" w:type="dxa"/>
              <w:left w:w="99" w:type="dxa"/>
              <w:bottom w:w="99" w:type="dxa"/>
              <w:right w:w="99" w:type="dxa"/>
            </w:tcMar>
          </w:tcPr>
          <w:p w14:paraId="36F5B3A6" w14:textId="77777777" w:rsidR="002B129E" w:rsidRDefault="009D7423">
            <w:pPr>
              <w:pStyle w:val="normal0"/>
              <w:rPr>
                <w:rFonts w:ascii="Muli" w:eastAsia="Muli" w:hAnsi="Muli" w:cs="Muli"/>
                <w:sz w:val="20"/>
                <w:szCs w:val="20"/>
                <w:shd w:val="clear" w:color="auto" w:fill="FFF2CC"/>
              </w:rPr>
            </w:pPr>
            <w:r>
              <w:rPr>
                <w:rFonts w:ascii="Muli" w:eastAsia="Muli" w:hAnsi="Muli" w:cs="Muli"/>
                <w:b/>
                <w:sz w:val="20"/>
                <w:szCs w:val="20"/>
              </w:rPr>
              <w:lastRenderedPageBreak/>
              <w:t>SW5. Equitable Learning Opportunities.</w:t>
            </w:r>
          </w:p>
          <w:p w14:paraId="0AF9B3F6" w14:textId="77777777" w:rsidR="002B129E" w:rsidRDefault="009D7423">
            <w:pPr>
              <w:pStyle w:val="normal0"/>
              <w:rPr>
                <w:rFonts w:ascii="Muli" w:eastAsia="Muli" w:hAnsi="Muli" w:cs="Muli"/>
                <w:b/>
                <w:sz w:val="20"/>
                <w:szCs w:val="20"/>
              </w:rPr>
            </w:pPr>
            <w:r>
              <w:rPr>
                <w:rFonts w:ascii="Muli" w:eastAsia="Muli" w:hAnsi="Muli" w:cs="Muli"/>
                <w:sz w:val="20"/>
                <w:szCs w:val="20"/>
              </w:rPr>
              <w:t>This module provides strong resources and strategies to ensure that all students have access to the targeted learning goals and experiences.</w:t>
            </w:r>
          </w:p>
        </w:tc>
      </w:tr>
      <w:tr w:rsidR="002B129E" w14:paraId="12FA0813" w14:textId="77777777">
        <w:trPr>
          <w:trHeight w:val="400"/>
        </w:trPr>
        <w:tc>
          <w:tcPr>
            <w:tcW w:w="9840" w:type="dxa"/>
            <w:shd w:val="clear" w:color="auto" w:fill="FFFFFF"/>
            <w:tcMar>
              <w:top w:w="99" w:type="dxa"/>
              <w:left w:w="99" w:type="dxa"/>
              <w:bottom w:w="99" w:type="dxa"/>
              <w:right w:w="99" w:type="dxa"/>
            </w:tcMar>
          </w:tcPr>
          <w:p w14:paraId="5AB7B72B"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54FAC5A3" w14:textId="77777777" w:rsidR="002B129E" w:rsidRDefault="009D7423">
            <w:pPr>
              <w:pStyle w:val="normal0"/>
              <w:numPr>
                <w:ilvl w:val="0"/>
                <w:numId w:val="20"/>
              </w:numPr>
              <w:contextualSpacing/>
              <w:rPr>
                <w:rFonts w:ascii="Muli" w:eastAsia="Muli" w:hAnsi="Muli" w:cs="Muli"/>
                <w:sz w:val="20"/>
                <w:szCs w:val="20"/>
              </w:rPr>
            </w:pPr>
            <w:r>
              <w:rPr>
                <w:rFonts w:ascii="Muli" w:eastAsia="Muli" w:hAnsi="Muli" w:cs="Muli"/>
                <w:sz w:val="20"/>
                <w:szCs w:val="20"/>
              </w:rPr>
              <w:t>Frequent support is given at point of use in all lessons on strate</w:t>
            </w:r>
            <w:r>
              <w:rPr>
                <w:rFonts w:ascii="Muli" w:eastAsia="Muli" w:hAnsi="Muli" w:cs="Muli"/>
                <w:sz w:val="20"/>
                <w:szCs w:val="20"/>
              </w:rPr>
              <w:t xml:space="preserve">gies to ensure that all students have access to the targeted learning goals. Numerous scaffolds are provided for Special Needs, English Learner, and Standard English Learner students, for example, in DQ1L3 TE p. 27 and </w:t>
            </w:r>
            <w:r>
              <w:rPr>
                <w:rFonts w:ascii="Muli" w:eastAsia="Muli" w:hAnsi="Muli" w:cs="Muli"/>
                <w:b/>
                <w:color w:val="FF126D"/>
                <w:sz w:val="20"/>
                <w:szCs w:val="20"/>
              </w:rPr>
              <w:t>DQ1L4 TE p. 34</w:t>
            </w:r>
            <w:r>
              <w:rPr>
                <w:rFonts w:ascii="Muli" w:eastAsia="Muli" w:hAnsi="Muli" w:cs="Muli"/>
                <w:sz w:val="20"/>
                <w:szCs w:val="20"/>
              </w:rPr>
              <w:t>.</w:t>
            </w:r>
          </w:p>
          <w:p w14:paraId="337CCFF6" w14:textId="77777777" w:rsidR="002B129E" w:rsidRDefault="009D7423">
            <w:pPr>
              <w:pStyle w:val="normal0"/>
              <w:numPr>
                <w:ilvl w:val="0"/>
                <w:numId w:val="20"/>
              </w:numPr>
              <w:contextualSpacing/>
              <w:rPr>
                <w:rFonts w:ascii="Muli" w:eastAsia="Muli" w:hAnsi="Muli" w:cs="Muli"/>
                <w:sz w:val="20"/>
                <w:szCs w:val="20"/>
              </w:rPr>
            </w:pPr>
            <w:r>
              <w:rPr>
                <w:rFonts w:ascii="Muli" w:eastAsia="Muli" w:hAnsi="Muli" w:cs="Muli"/>
                <w:sz w:val="20"/>
                <w:szCs w:val="20"/>
              </w:rPr>
              <w:t xml:space="preserve">The reader </w:t>
            </w:r>
            <w:r>
              <w:rPr>
                <w:rFonts w:ascii="Muli" w:eastAsia="Muli" w:hAnsi="Muli" w:cs="Muli"/>
                <w:i/>
                <w:sz w:val="20"/>
                <w:szCs w:val="20"/>
              </w:rPr>
              <w:t>Pushes and Pulls</w:t>
            </w:r>
            <w:r>
              <w:rPr>
                <w:rFonts w:ascii="Muli" w:eastAsia="Muli" w:hAnsi="Muli" w:cs="Muli"/>
                <w:sz w:val="20"/>
                <w:szCs w:val="20"/>
              </w:rPr>
              <w:t xml:space="preserve"> that complements the module is provided at four levels—Above, On, Below, and English Learner—with matching lesson instruction in the TEs/online.</w:t>
            </w:r>
          </w:p>
          <w:p w14:paraId="5642F0B9" w14:textId="77777777" w:rsidR="002B129E" w:rsidRDefault="009D7423">
            <w:pPr>
              <w:pStyle w:val="normal0"/>
              <w:numPr>
                <w:ilvl w:val="0"/>
                <w:numId w:val="20"/>
              </w:numPr>
              <w:contextualSpacing/>
              <w:rPr>
                <w:rFonts w:ascii="Muli" w:eastAsia="Muli" w:hAnsi="Muli" w:cs="Muli"/>
                <w:sz w:val="20"/>
                <w:szCs w:val="20"/>
              </w:rPr>
            </w:pPr>
            <w:r>
              <w:rPr>
                <w:rFonts w:ascii="Muli" w:eastAsia="Muli" w:hAnsi="Muli" w:cs="Muli"/>
                <w:sz w:val="20"/>
                <w:szCs w:val="20"/>
              </w:rPr>
              <w:t>Digital versions of the Twig Book and readers have text to speech functions.</w:t>
            </w:r>
          </w:p>
          <w:p w14:paraId="6119D9AC" w14:textId="77777777" w:rsidR="002B129E" w:rsidRDefault="009D7423">
            <w:pPr>
              <w:pStyle w:val="normal0"/>
              <w:numPr>
                <w:ilvl w:val="0"/>
                <w:numId w:val="20"/>
              </w:numPr>
              <w:contextualSpacing/>
              <w:rPr>
                <w:rFonts w:ascii="Muli" w:eastAsia="Muli" w:hAnsi="Muli" w:cs="Muli"/>
                <w:sz w:val="20"/>
                <w:szCs w:val="20"/>
              </w:rPr>
            </w:pPr>
            <w:r>
              <w:rPr>
                <w:rFonts w:ascii="Muli" w:eastAsia="Muli" w:hAnsi="Muli" w:cs="Muli"/>
                <w:sz w:val="20"/>
                <w:szCs w:val="20"/>
              </w:rPr>
              <w:t>Short, high quality videos that engage and support learners with diverse learning needs are frequently provided to spark interest, summarize key concepts, and make the ideas relevant to this age group. For example, the Exploring Forces video in DQ1L4 reinf</w:t>
            </w:r>
            <w:r>
              <w:rPr>
                <w:rFonts w:ascii="Muli" w:eastAsia="Muli" w:hAnsi="Muli" w:cs="Muli"/>
                <w:sz w:val="20"/>
                <w:szCs w:val="20"/>
              </w:rPr>
              <w:t>orces key concepts about forces, pushes, and pulls, while the Engineering: Jetpack video in DQ2L2 provides a real-world example of engineering. It also gives context to the idea that failure can be a positive learning experience, helping cultivate confiden</w:t>
            </w:r>
            <w:r>
              <w:rPr>
                <w:rFonts w:ascii="Muli" w:eastAsia="Muli" w:hAnsi="Muli" w:cs="Muli"/>
                <w:sz w:val="20"/>
                <w:szCs w:val="20"/>
              </w:rPr>
              <w:t>ce as scientists and engineers.</w:t>
            </w:r>
          </w:p>
        </w:tc>
        <w:tc>
          <w:tcPr>
            <w:tcW w:w="4335" w:type="dxa"/>
            <w:shd w:val="clear" w:color="auto" w:fill="FFFFFF"/>
            <w:tcMar>
              <w:top w:w="99" w:type="dxa"/>
              <w:left w:w="99" w:type="dxa"/>
              <w:bottom w:w="99" w:type="dxa"/>
              <w:right w:w="99" w:type="dxa"/>
            </w:tcMar>
          </w:tcPr>
          <w:p w14:paraId="37C08DFA" w14:textId="77777777" w:rsidR="002B129E" w:rsidRDefault="009D7423">
            <w:pPr>
              <w:pStyle w:val="normal0"/>
            </w:pPr>
            <w:r>
              <w:rPr>
                <w:noProof/>
              </w:rPr>
              <w:drawing>
                <wp:inline distT="114300" distB="114300" distL="114300" distR="114300" wp14:anchorId="25371F5E" wp14:editId="4EBB2068">
                  <wp:extent cx="2125663" cy="3370141"/>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125663" cy="3370141"/>
                          </a:xfrm>
                          <a:prstGeom prst="rect">
                            <a:avLst/>
                          </a:prstGeom>
                          <a:ln/>
                        </pic:spPr>
                      </pic:pic>
                    </a:graphicData>
                  </a:graphic>
                </wp:inline>
              </w:drawing>
            </w:r>
          </w:p>
          <w:p w14:paraId="71137846" w14:textId="77777777" w:rsidR="002B129E" w:rsidRDefault="009D7423">
            <w:pPr>
              <w:pStyle w:val="normal0"/>
            </w:pPr>
            <w:r>
              <w:rPr>
                <w:rFonts w:ascii="Muli" w:eastAsia="Muli" w:hAnsi="Muli" w:cs="Muli"/>
                <w:b/>
                <w:color w:val="FF126D"/>
                <w:sz w:val="20"/>
                <w:szCs w:val="20"/>
              </w:rPr>
              <w:t>DQ1L4 TE p. 34</w:t>
            </w:r>
          </w:p>
        </w:tc>
      </w:tr>
    </w:tbl>
    <w:p w14:paraId="1D147115" w14:textId="77777777" w:rsidR="002B129E" w:rsidRDefault="009D7423">
      <w:pPr>
        <w:pStyle w:val="normal0"/>
        <w:pBdr>
          <w:top w:val="nil"/>
          <w:left w:val="nil"/>
          <w:bottom w:val="nil"/>
          <w:right w:val="nil"/>
          <w:between w:val="nil"/>
        </w:pBdr>
        <w:spacing w:line="276" w:lineRule="auto"/>
      </w:pPr>
      <w:r>
        <w:br w:type="page"/>
      </w:r>
    </w:p>
    <w:p w14:paraId="3443049A" w14:textId="77777777" w:rsidR="002B129E" w:rsidRDefault="002B129E">
      <w:pPr>
        <w:pStyle w:val="normal0"/>
        <w:spacing w:before="3"/>
        <w:rPr>
          <w:rFonts w:ascii="Muli" w:eastAsia="Muli" w:hAnsi="Muli" w:cs="Muli"/>
          <w:sz w:val="20"/>
          <w:szCs w:val="20"/>
        </w:rPr>
      </w:pPr>
    </w:p>
    <w:tbl>
      <w:tblPr>
        <w:tblStyle w:val="a5"/>
        <w:tblW w:w="14197"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97"/>
      </w:tblGrid>
      <w:tr w:rsidR="002B129E" w14:paraId="49548093" w14:textId="77777777" w:rsidTr="009D7423">
        <w:trPr>
          <w:trHeight w:val="760"/>
        </w:trPr>
        <w:tc>
          <w:tcPr>
            <w:tcW w:w="14197" w:type="dxa"/>
            <w:shd w:val="clear" w:color="auto" w:fill="2F5496"/>
          </w:tcPr>
          <w:p w14:paraId="0A1456D9" w14:textId="77777777" w:rsidR="002B129E" w:rsidRDefault="009D7423">
            <w:pPr>
              <w:pStyle w:val="normal0"/>
              <w:spacing w:before="222"/>
              <w:ind w:left="18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49D554A7" w14:textId="77777777" w:rsidR="002B129E" w:rsidRDefault="002B129E">
      <w:pPr>
        <w:pStyle w:val="normal0"/>
        <w:pBdr>
          <w:top w:val="nil"/>
          <w:left w:val="nil"/>
          <w:bottom w:val="nil"/>
          <w:right w:val="nil"/>
          <w:between w:val="nil"/>
        </w:pBdr>
        <w:spacing w:before="4"/>
        <w:rPr>
          <w:color w:val="000000"/>
        </w:rPr>
      </w:pPr>
    </w:p>
    <w:tbl>
      <w:tblPr>
        <w:tblStyle w:val="a6"/>
        <w:tblW w:w="1414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5"/>
        <w:gridCol w:w="1090"/>
        <w:gridCol w:w="1090"/>
        <w:gridCol w:w="1090"/>
      </w:tblGrid>
      <w:tr w:rsidR="002B129E" w14:paraId="3E589B1F" w14:textId="77777777">
        <w:trPr>
          <w:trHeight w:val="320"/>
        </w:trPr>
        <w:tc>
          <w:tcPr>
            <w:tcW w:w="10875" w:type="dxa"/>
            <w:shd w:val="clear" w:color="auto" w:fill="FF126D"/>
          </w:tcPr>
          <w:p w14:paraId="181D6EED" w14:textId="77777777" w:rsidR="002B129E" w:rsidRDefault="009D7423">
            <w:pPr>
              <w:pStyle w:val="normal0"/>
              <w:spacing w:before="35"/>
              <w:ind w:left="107"/>
              <w:rPr>
                <w:rFonts w:ascii="Muli" w:eastAsia="Muli" w:hAnsi="Muli" w:cs="Muli"/>
                <w:sz w:val="20"/>
                <w:szCs w:val="20"/>
              </w:rPr>
            </w:pPr>
            <w:r>
              <w:rPr>
                <w:rFonts w:ascii="Muli" w:eastAsia="Muli" w:hAnsi="Muli" w:cs="Muli"/>
                <w:color w:val="FFFFFF"/>
                <w:sz w:val="20"/>
                <w:szCs w:val="20"/>
              </w:rPr>
              <w:t>Teacher materials…</w:t>
            </w:r>
          </w:p>
        </w:tc>
        <w:tc>
          <w:tcPr>
            <w:tcW w:w="1090" w:type="dxa"/>
            <w:shd w:val="clear" w:color="auto" w:fill="FF126D"/>
          </w:tcPr>
          <w:p w14:paraId="3C352EEC" w14:textId="77777777" w:rsidR="002B129E" w:rsidRDefault="009D7423">
            <w:pPr>
              <w:pStyle w:val="normal0"/>
              <w:spacing w:before="35"/>
              <w:ind w:left="107"/>
              <w:rPr>
                <w:rFonts w:ascii="Muli" w:eastAsia="Muli" w:hAnsi="Muli" w:cs="Muli"/>
                <w:sz w:val="20"/>
                <w:szCs w:val="20"/>
              </w:rPr>
            </w:pPr>
            <w:r>
              <w:rPr>
                <w:rFonts w:ascii="Muli" w:eastAsia="Muli" w:hAnsi="Muli" w:cs="Muli"/>
                <w:color w:val="FFFFFF"/>
                <w:sz w:val="20"/>
                <w:szCs w:val="20"/>
              </w:rPr>
              <w:t>Strong</w:t>
            </w:r>
          </w:p>
        </w:tc>
        <w:tc>
          <w:tcPr>
            <w:tcW w:w="1090" w:type="dxa"/>
            <w:shd w:val="clear" w:color="auto" w:fill="FF126D"/>
          </w:tcPr>
          <w:p w14:paraId="5F55EFBF" w14:textId="77777777" w:rsidR="002B129E" w:rsidRDefault="009D7423">
            <w:pPr>
              <w:pStyle w:val="normal0"/>
              <w:spacing w:before="35"/>
              <w:ind w:left="108"/>
              <w:rPr>
                <w:rFonts w:ascii="Muli" w:eastAsia="Muli" w:hAnsi="Muli" w:cs="Muli"/>
                <w:sz w:val="20"/>
                <w:szCs w:val="20"/>
              </w:rPr>
            </w:pPr>
            <w:r>
              <w:rPr>
                <w:rFonts w:ascii="Muli" w:eastAsia="Muli" w:hAnsi="Muli" w:cs="Muli"/>
                <w:color w:val="FFFFFF"/>
                <w:sz w:val="20"/>
                <w:szCs w:val="20"/>
              </w:rPr>
              <w:t>Adequate</w:t>
            </w:r>
          </w:p>
        </w:tc>
        <w:tc>
          <w:tcPr>
            <w:tcW w:w="1090" w:type="dxa"/>
            <w:shd w:val="clear" w:color="auto" w:fill="FF126D"/>
          </w:tcPr>
          <w:p w14:paraId="7EDB4E52" w14:textId="77777777" w:rsidR="002B129E" w:rsidRDefault="009D7423">
            <w:pPr>
              <w:pStyle w:val="normal0"/>
              <w:spacing w:before="35"/>
              <w:ind w:left="108"/>
              <w:rPr>
                <w:rFonts w:ascii="Muli" w:eastAsia="Muli" w:hAnsi="Muli" w:cs="Muli"/>
                <w:sz w:val="20"/>
                <w:szCs w:val="20"/>
              </w:rPr>
            </w:pPr>
            <w:r>
              <w:rPr>
                <w:rFonts w:ascii="Muli" w:eastAsia="Muli" w:hAnsi="Muli" w:cs="Muli"/>
                <w:color w:val="FFFFFF"/>
                <w:sz w:val="20"/>
                <w:szCs w:val="20"/>
              </w:rPr>
              <w:t>Weak</w:t>
            </w:r>
          </w:p>
        </w:tc>
      </w:tr>
      <w:tr w:rsidR="002B129E" w14:paraId="12D54CFA" w14:textId="77777777">
        <w:trPr>
          <w:trHeight w:val="780"/>
        </w:trPr>
        <w:tc>
          <w:tcPr>
            <w:tcW w:w="10875" w:type="dxa"/>
          </w:tcPr>
          <w:p w14:paraId="6843CD80" w14:textId="77777777" w:rsidR="002B129E" w:rsidRDefault="009D7423">
            <w:pPr>
              <w:pStyle w:val="normal0"/>
              <w:pBdr>
                <w:top w:val="nil"/>
                <w:left w:val="nil"/>
                <w:bottom w:val="nil"/>
                <w:right w:val="nil"/>
                <w:between w:val="nil"/>
              </w:pBdr>
              <w:spacing w:before="1"/>
              <w:ind w:left="107" w:right="102"/>
              <w:rPr>
                <w:rFonts w:ascii="Muli" w:eastAsia="Muli" w:hAnsi="Muli" w:cs="Muli"/>
                <w:color w:val="000000"/>
                <w:sz w:val="20"/>
                <w:szCs w:val="20"/>
              </w:rPr>
            </w:pPr>
            <w:r>
              <w:rPr>
                <w:rFonts w:ascii="Muli" w:eastAsia="Muli" w:hAnsi="Muli" w:cs="Muli"/>
                <w:b/>
                <w:color w:val="000000"/>
                <w:sz w:val="20"/>
                <w:szCs w:val="20"/>
              </w:rPr>
              <w:t xml:space="preserve">SP1. Three-dimensional Performances. </w:t>
            </w:r>
            <w:r>
              <w:rPr>
                <w:rFonts w:ascii="Muli" w:eastAsia="Muli" w:hAnsi="Muli" w:cs="Muli"/>
                <w:color w:val="000000"/>
                <w:sz w:val="20"/>
                <w:szCs w:val="20"/>
              </w:rPr>
              <w:t>Provide support with a range of sample student responses and/or rubrics for interpreting evidence of student learning across the three dimensions, specific to the element of each dimension, and related to the phenomenon/problem that provides context for th</w:t>
            </w:r>
            <w:r>
              <w:rPr>
                <w:rFonts w:ascii="Muli" w:eastAsia="Muli" w:hAnsi="Muli" w:cs="Muli"/>
                <w:color w:val="000000"/>
                <w:sz w:val="20"/>
                <w:szCs w:val="20"/>
              </w:rPr>
              <w:t>e student performance.</w:t>
            </w:r>
          </w:p>
        </w:tc>
        <w:tc>
          <w:tcPr>
            <w:tcW w:w="1090" w:type="dxa"/>
          </w:tcPr>
          <w:p w14:paraId="0C2F8E28" w14:textId="77777777" w:rsidR="002B129E" w:rsidRDefault="009D7423">
            <w:pPr>
              <w:pStyle w:val="normal0"/>
              <w:jc w:val="center"/>
              <w:rPr>
                <w:color w:val="000000"/>
              </w:rPr>
            </w:pPr>
            <w:r>
              <w:rPr>
                <w:rFonts w:ascii="Arial Unicode MS" w:eastAsia="Arial Unicode MS" w:hAnsi="Arial Unicode MS" w:cs="Arial Unicode MS"/>
                <w:color w:val="FF126D"/>
                <w:sz w:val="56"/>
                <w:szCs w:val="56"/>
              </w:rPr>
              <w:t>✓</w:t>
            </w:r>
          </w:p>
        </w:tc>
        <w:tc>
          <w:tcPr>
            <w:tcW w:w="1090" w:type="dxa"/>
          </w:tcPr>
          <w:p w14:paraId="176D422A" w14:textId="77777777" w:rsidR="002B129E" w:rsidRDefault="002B129E">
            <w:pPr>
              <w:pStyle w:val="normal0"/>
              <w:pBdr>
                <w:top w:val="nil"/>
                <w:left w:val="nil"/>
                <w:bottom w:val="nil"/>
                <w:right w:val="nil"/>
                <w:between w:val="nil"/>
              </w:pBdr>
              <w:rPr>
                <w:color w:val="000000"/>
              </w:rPr>
            </w:pPr>
          </w:p>
        </w:tc>
        <w:tc>
          <w:tcPr>
            <w:tcW w:w="1090" w:type="dxa"/>
          </w:tcPr>
          <w:p w14:paraId="5590107C" w14:textId="77777777" w:rsidR="002B129E" w:rsidRDefault="002B129E">
            <w:pPr>
              <w:pStyle w:val="normal0"/>
              <w:pBdr>
                <w:top w:val="nil"/>
                <w:left w:val="nil"/>
                <w:bottom w:val="nil"/>
                <w:right w:val="nil"/>
                <w:between w:val="nil"/>
              </w:pBdr>
              <w:rPr>
                <w:color w:val="000000"/>
              </w:rPr>
            </w:pPr>
          </w:p>
        </w:tc>
      </w:tr>
      <w:tr w:rsidR="002B129E" w14:paraId="73590391" w14:textId="77777777">
        <w:trPr>
          <w:trHeight w:val="780"/>
        </w:trPr>
        <w:tc>
          <w:tcPr>
            <w:tcW w:w="10875" w:type="dxa"/>
          </w:tcPr>
          <w:p w14:paraId="1BF6C3D3" w14:textId="77777777" w:rsidR="002B129E" w:rsidRDefault="009D7423">
            <w:pPr>
              <w:pStyle w:val="normal0"/>
              <w:pBdr>
                <w:top w:val="nil"/>
                <w:left w:val="nil"/>
                <w:bottom w:val="nil"/>
                <w:right w:val="nil"/>
                <w:between w:val="nil"/>
              </w:pBdr>
              <w:spacing w:before="1"/>
              <w:ind w:left="107" w:right="84"/>
              <w:rPr>
                <w:rFonts w:ascii="Muli" w:eastAsia="Muli" w:hAnsi="Muli" w:cs="Muli"/>
                <w:color w:val="000000"/>
                <w:sz w:val="20"/>
                <w:szCs w:val="20"/>
              </w:rPr>
            </w:pPr>
            <w:r>
              <w:rPr>
                <w:rFonts w:ascii="Muli" w:eastAsia="Muli" w:hAnsi="Muli" w:cs="Muli"/>
                <w:b/>
                <w:color w:val="000000"/>
                <w:sz w:val="20"/>
                <w:szCs w:val="20"/>
              </w:rPr>
              <w:t xml:space="preserve">SP2. Variety of Measure. </w:t>
            </w:r>
            <w:r>
              <w:rPr>
                <w:rFonts w:ascii="Muli" w:eastAsia="Muli" w:hAnsi="Muli" w:cs="Muli"/>
                <w:color w:val="000000"/>
                <w:sz w:val="20"/>
                <w:szCs w:val="20"/>
              </w:rPr>
              <w:t>Provide guidance and scoring tools for using a variety of measures matched to the targeted learning goals to help students monitor their progress toward learning goals and reflect on what they have learned, how they learn it, and how to use metacognition p</w:t>
            </w:r>
            <w:r>
              <w:rPr>
                <w:rFonts w:ascii="Muli" w:eastAsia="Muli" w:hAnsi="Muli" w:cs="Muli"/>
                <w:color w:val="000000"/>
                <w:sz w:val="20"/>
                <w:szCs w:val="20"/>
              </w:rPr>
              <w:t>roductively.</w:t>
            </w:r>
          </w:p>
        </w:tc>
        <w:tc>
          <w:tcPr>
            <w:tcW w:w="1090" w:type="dxa"/>
          </w:tcPr>
          <w:p w14:paraId="64C3478C" w14:textId="77777777" w:rsidR="002B129E" w:rsidRDefault="009D7423">
            <w:pPr>
              <w:pStyle w:val="normal0"/>
              <w:jc w:val="center"/>
              <w:rPr>
                <w:color w:val="000000"/>
              </w:rPr>
            </w:pPr>
            <w:r>
              <w:rPr>
                <w:rFonts w:ascii="Arial Unicode MS" w:eastAsia="Arial Unicode MS" w:hAnsi="Arial Unicode MS" w:cs="Arial Unicode MS"/>
                <w:color w:val="FF126D"/>
                <w:sz w:val="56"/>
                <w:szCs w:val="56"/>
              </w:rPr>
              <w:t>✓</w:t>
            </w:r>
          </w:p>
        </w:tc>
        <w:tc>
          <w:tcPr>
            <w:tcW w:w="1090" w:type="dxa"/>
          </w:tcPr>
          <w:p w14:paraId="329CB428" w14:textId="77777777" w:rsidR="002B129E" w:rsidRDefault="002B129E">
            <w:pPr>
              <w:pStyle w:val="normal0"/>
              <w:pBdr>
                <w:top w:val="nil"/>
                <w:left w:val="nil"/>
                <w:bottom w:val="nil"/>
                <w:right w:val="nil"/>
                <w:between w:val="nil"/>
              </w:pBdr>
              <w:rPr>
                <w:color w:val="000000"/>
              </w:rPr>
            </w:pPr>
          </w:p>
        </w:tc>
        <w:tc>
          <w:tcPr>
            <w:tcW w:w="1090" w:type="dxa"/>
          </w:tcPr>
          <w:p w14:paraId="40B82465" w14:textId="77777777" w:rsidR="002B129E" w:rsidRDefault="002B129E">
            <w:pPr>
              <w:pStyle w:val="normal0"/>
              <w:pBdr>
                <w:top w:val="nil"/>
                <w:left w:val="nil"/>
                <w:bottom w:val="nil"/>
                <w:right w:val="nil"/>
                <w:between w:val="nil"/>
              </w:pBdr>
              <w:rPr>
                <w:color w:val="000000"/>
              </w:rPr>
            </w:pPr>
          </w:p>
        </w:tc>
      </w:tr>
      <w:tr w:rsidR="002B129E" w14:paraId="69953C5F" w14:textId="77777777">
        <w:trPr>
          <w:trHeight w:val="980"/>
        </w:trPr>
        <w:tc>
          <w:tcPr>
            <w:tcW w:w="10875" w:type="dxa"/>
          </w:tcPr>
          <w:p w14:paraId="38EAB974" w14:textId="77777777" w:rsidR="002B129E" w:rsidRDefault="009D7423">
            <w:pPr>
              <w:pStyle w:val="normal0"/>
              <w:pBdr>
                <w:top w:val="nil"/>
                <w:left w:val="nil"/>
                <w:bottom w:val="nil"/>
                <w:right w:val="nil"/>
                <w:between w:val="nil"/>
              </w:pBdr>
              <w:spacing w:before="1"/>
              <w:ind w:left="107" w:right="353"/>
              <w:rPr>
                <w:rFonts w:ascii="Muli" w:eastAsia="Muli" w:hAnsi="Muli" w:cs="Muli"/>
                <w:color w:val="000000"/>
                <w:sz w:val="20"/>
                <w:szCs w:val="20"/>
              </w:rPr>
            </w:pPr>
            <w:r>
              <w:rPr>
                <w:rFonts w:ascii="Muli" w:eastAsia="Muli" w:hAnsi="Muli" w:cs="Muli"/>
                <w:b/>
                <w:color w:val="000000"/>
                <w:sz w:val="20"/>
                <w:szCs w:val="20"/>
              </w:rPr>
              <w:t xml:space="preserve">SP3. Student Progress Over Time. </w:t>
            </w:r>
            <w:r>
              <w:rPr>
                <w:rFonts w:ascii="Muli" w:eastAsia="Muli" w:hAnsi="Muli" w:cs="Muli"/>
                <w:color w:val="000000"/>
                <w:sz w:val="20"/>
                <w:szCs w:val="20"/>
              </w:rPr>
              <w:t>Provide guidance for using formative and summative assessments to monitor student progress over time. Examples include support for: capturing student growth; interpreting results; adjusting instruction and planning for future instruction; providing feedbac</w:t>
            </w:r>
            <w:r>
              <w:rPr>
                <w:rFonts w:ascii="Muli" w:eastAsia="Muli" w:hAnsi="Muli" w:cs="Muli"/>
                <w:color w:val="000000"/>
                <w:sz w:val="20"/>
                <w:szCs w:val="20"/>
              </w:rPr>
              <w:t>k to students; prompting students to consider what and how they’ve learned.</w:t>
            </w:r>
          </w:p>
        </w:tc>
        <w:tc>
          <w:tcPr>
            <w:tcW w:w="1090" w:type="dxa"/>
          </w:tcPr>
          <w:p w14:paraId="1FD960A6" w14:textId="77777777" w:rsidR="002B129E" w:rsidRDefault="009D7423">
            <w:pPr>
              <w:pStyle w:val="normal0"/>
              <w:jc w:val="center"/>
              <w:rPr>
                <w:color w:val="000000"/>
              </w:rPr>
            </w:pPr>
            <w:r>
              <w:rPr>
                <w:rFonts w:ascii="Arial Unicode MS" w:eastAsia="Arial Unicode MS" w:hAnsi="Arial Unicode MS" w:cs="Arial Unicode MS"/>
                <w:color w:val="FF126D"/>
                <w:sz w:val="56"/>
                <w:szCs w:val="56"/>
              </w:rPr>
              <w:t>✓</w:t>
            </w:r>
          </w:p>
        </w:tc>
        <w:tc>
          <w:tcPr>
            <w:tcW w:w="1090" w:type="dxa"/>
          </w:tcPr>
          <w:p w14:paraId="715D7B0C" w14:textId="77777777" w:rsidR="002B129E" w:rsidRDefault="002B129E">
            <w:pPr>
              <w:pStyle w:val="normal0"/>
              <w:pBdr>
                <w:top w:val="nil"/>
                <w:left w:val="nil"/>
                <w:bottom w:val="nil"/>
                <w:right w:val="nil"/>
                <w:between w:val="nil"/>
              </w:pBdr>
              <w:rPr>
                <w:color w:val="000000"/>
              </w:rPr>
            </w:pPr>
          </w:p>
        </w:tc>
        <w:tc>
          <w:tcPr>
            <w:tcW w:w="1090" w:type="dxa"/>
          </w:tcPr>
          <w:p w14:paraId="2A4664C9" w14:textId="77777777" w:rsidR="002B129E" w:rsidRDefault="002B129E">
            <w:pPr>
              <w:pStyle w:val="normal0"/>
              <w:pBdr>
                <w:top w:val="nil"/>
                <w:left w:val="nil"/>
                <w:bottom w:val="nil"/>
                <w:right w:val="nil"/>
                <w:between w:val="nil"/>
              </w:pBdr>
              <w:rPr>
                <w:color w:val="000000"/>
              </w:rPr>
            </w:pPr>
          </w:p>
        </w:tc>
      </w:tr>
      <w:tr w:rsidR="002B129E" w14:paraId="22AC2D43" w14:textId="77777777">
        <w:trPr>
          <w:trHeight w:val="600"/>
        </w:trPr>
        <w:tc>
          <w:tcPr>
            <w:tcW w:w="10875" w:type="dxa"/>
            <w:tcBorders>
              <w:bottom w:val="single" w:sz="8" w:space="0" w:color="000000"/>
            </w:tcBorders>
          </w:tcPr>
          <w:p w14:paraId="1D3A020C" w14:textId="77777777" w:rsidR="002B129E" w:rsidRDefault="009D7423">
            <w:pPr>
              <w:pStyle w:val="normal0"/>
              <w:pBdr>
                <w:top w:val="nil"/>
                <w:left w:val="nil"/>
                <w:bottom w:val="nil"/>
                <w:right w:val="nil"/>
                <w:between w:val="nil"/>
              </w:pBdr>
              <w:spacing w:before="1"/>
              <w:ind w:left="107" w:right="236"/>
              <w:rPr>
                <w:rFonts w:ascii="Muli" w:eastAsia="Muli" w:hAnsi="Muli" w:cs="Muli"/>
                <w:color w:val="000000"/>
                <w:sz w:val="20"/>
                <w:szCs w:val="20"/>
              </w:rPr>
            </w:pPr>
            <w:r>
              <w:rPr>
                <w:rFonts w:ascii="Muli" w:eastAsia="Muli" w:hAnsi="Muli" w:cs="Muli"/>
                <w:b/>
                <w:color w:val="000000"/>
                <w:sz w:val="20"/>
                <w:szCs w:val="20"/>
              </w:rPr>
              <w:t xml:space="preserve">SP4. Equitable Access. </w:t>
            </w:r>
            <w:r>
              <w:rPr>
                <w:rFonts w:ascii="Muli" w:eastAsia="Muli" w:hAnsi="Muli" w:cs="Muli"/>
                <w:color w:val="000000"/>
                <w:sz w:val="20"/>
                <w:szCs w:val="20"/>
              </w:rPr>
              <w:t>Provide support and strategies for ensuring that assessments are accessible to students from diverse backgrounds and with diverse learning needs.</w:t>
            </w:r>
          </w:p>
        </w:tc>
        <w:tc>
          <w:tcPr>
            <w:tcW w:w="1090" w:type="dxa"/>
            <w:tcBorders>
              <w:bottom w:val="single" w:sz="8" w:space="0" w:color="000000"/>
            </w:tcBorders>
          </w:tcPr>
          <w:p w14:paraId="556D51A9" w14:textId="77777777" w:rsidR="002B129E" w:rsidRDefault="009D7423">
            <w:pPr>
              <w:pStyle w:val="normal0"/>
              <w:jc w:val="center"/>
              <w:rPr>
                <w:color w:val="000000"/>
              </w:rPr>
            </w:pPr>
            <w:r>
              <w:rPr>
                <w:rFonts w:ascii="Arial Unicode MS" w:eastAsia="Arial Unicode MS" w:hAnsi="Arial Unicode MS" w:cs="Arial Unicode MS"/>
                <w:color w:val="FF126D"/>
                <w:sz w:val="56"/>
                <w:szCs w:val="56"/>
              </w:rPr>
              <w:t>✓</w:t>
            </w:r>
          </w:p>
        </w:tc>
        <w:tc>
          <w:tcPr>
            <w:tcW w:w="1090" w:type="dxa"/>
            <w:tcBorders>
              <w:bottom w:val="single" w:sz="8" w:space="0" w:color="000000"/>
            </w:tcBorders>
          </w:tcPr>
          <w:p w14:paraId="5DE2AF49" w14:textId="77777777" w:rsidR="002B129E" w:rsidRDefault="002B129E">
            <w:pPr>
              <w:pStyle w:val="normal0"/>
              <w:pBdr>
                <w:top w:val="nil"/>
                <w:left w:val="nil"/>
                <w:bottom w:val="nil"/>
                <w:right w:val="nil"/>
                <w:between w:val="nil"/>
              </w:pBdr>
              <w:rPr>
                <w:color w:val="000000"/>
              </w:rPr>
            </w:pPr>
          </w:p>
        </w:tc>
        <w:tc>
          <w:tcPr>
            <w:tcW w:w="1090" w:type="dxa"/>
            <w:tcBorders>
              <w:bottom w:val="single" w:sz="8" w:space="0" w:color="000000"/>
            </w:tcBorders>
          </w:tcPr>
          <w:p w14:paraId="5C6B7D20" w14:textId="77777777" w:rsidR="002B129E" w:rsidRDefault="002B129E">
            <w:pPr>
              <w:pStyle w:val="normal0"/>
              <w:pBdr>
                <w:top w:val="nil"/>
                <w:left w:val="nil"/>
                <w:bottom w:val="nil"/>
                <w:right w:val="nil"/>
                <w:between w:val="nil"/>
              </w:pBdr>
              <w:rPr>
                <w:color w:val="000000"/>
              </w:rPr>
            </w:pPr>
          </w:p>
        </w:tc>
      </w:tr>
    </w:tbl>
    <w:p w14:paraId="425127C0" w14:textId="77777777" w:rsidR="002B129E" w:rsidRDefault="002B129E">
      <w:pPr>
        <w:pStyle w:val="normal0"/>
        <w:pBdr>
          <w:top w:val="nil"/>
          <w:left w:val="nil"/>
          <w:bottom w:val="nil"/>
          <w:right w:val="nil"/>
          <w:between w:val="nil"/>
        </w:pBdr>
        <w:spacing w:line="276" w:lineRule="auto"/>
        <w:rPr>
          <w:rFonts w:ascii="Muli" w:eastAsia="Muli" w:hAnsi="Muli" w:cs="Muli"/>
          <w:sz w:val="20"/>
          <w:szCs w:val="20"/>
        </w:rPr>
      </w:pPr>
    </w:p>
    <w:tbl>
      <w:tblPr>
        <w:tblStyle w:val="a7"/>
        <w:tblW w:w="1416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gridCol w:w="5070"/>
      </w:tblGrid>
      <w:tr w:rsidR="002B129E" w14:paraId="3A703F43" w14:textId="77777777">
        <w:trPr>
          <w:trHeight w:val="380"/>
        </w:trPr>
        <w:tc>
          <w:tcPr>
            <w:tcW w:w="14160" w:type="dxa"/>
            <w:gridSpan w:val="2"/>
            <w:tcBorders>
              <w:top w:val="single" w:sz="8" w:space="0" w:color="000000"/>
            </w:tcBorders>
            <w:shd w:val="clear" w:color="auto" w:fill="FF126D"/>
            <w:tcMar>
              <w:top w:w="99" w:type="dxa"/>
              <w:left w:w="99" w:type="dxa"/>
              <w:bottom w:w="99" w:type="dxa"/>
              <w:right w:w="99" w:type="dxa"/>
            </w:tcMar>
          </w:tcPr>
          <w:p w14:paraId="3E6EC45F" w14:textId="77777777" w:rsidR="002B129E" w:rsidRDefault="009D7423">
            <w:pPr>
              <w:pStyle w:val="normal0"/>
              <w:spacing w:line="267" w:lineRule="auto"/>
              <w:rPr>
                <w:rFonts w:ascii="Muli" w:eastAsia="Muli" w:hAnsi="Muli" w:cs="Muli"/>
                <w:sz w:val="20"/>
                <w:szCs w:val="20"/>
              </w:rPr>
            </w:pPr>
            <w:r>
              <w:rPr>
                <w:rFonts w:ascii="Muli" w:eastAsia="Muli" w:hAnsi="Muli" w:cs="Muli"/>
                <w:color w:val="FFFFFF"/>
                <w:sz w:val="20"/>
                <w:szCs w:val="20"/>
              </w:rPr>
              <w:t>Strengths related to these Teacher Supports</w:t>
            </w:r>
          </w:p>
        </w:tc>
      </w:tr>
      <w:tr w:rsidR="002B129E" w14:paraId="4C84A16C" w14:textId="77777777" w:rsidTr="009D7423">
        <w:trPr>
          <w:trHeight w:val="1860"/>
        </w:trPr>
        <w:tc>
          <w:tcPr>
            <w:tcW w:w="14160" w:type="dxa"/>
            <w:gridSpan w:val="2"/>
            <w:shd w:val="clear" w:color="auto" w:fill="D9D9D9"/>
            <w:tcMar>
              <w:top w:w="99" w:type="dxa"/>
              <w:left w:w="99" w:type="dxa"/>
              <w:bottom w:w="99" w:type="dxa"/>
              <w:right w:w="99" w:type="dxa"/>
            </w:tcMar>
          </w:tcPr>
          <w:p w14:paraId="7F37C381" w14:textId="77777777" w:rsidR="002B129E" w:rsidRDefault="009D7423">
            <w:pPr>
              <w:pStyle w:val="normal0"/>
              <w:rPr>
                <w:rFonts w:ascii="Muli" w:eastAsia="Muli" w:hAnsi="Muli" w:cs="Muli"/>
                <w:sz w:val="20"/>
                <w:szCs w:val="20"/>
              </w:rPr>
            </w:pPr>
            <w:r>
              <w:rPr>
                <w:rFonts w:ascii="Muli" w:eastAsia="Muli" w:hAnsi="Muli" w:cs="Muli"/>
                <w:b/>
                <w:sz w:val="20"/>
                <w:szCs w:val="20"/>
              </w:rPr>
              <w:t>SP1. Three-dimensional Performances.</w:t>
            </w:r>
            <w:r>
              <w:rPr>
                <w:rFonts w:ascii="Muli" w:eastAsia="Muli" w:hAnsi="Muli" w:cs="Muli"/>
                <w:sz w:val="20"/>
                <w:szCs w:val="20"/>
              </w:rPr>
              <w:t xml:space="preserve"> </w:t>
            </w:r>
          </w:p>
          <w:p w14:paraId="195427B9" w14:textId="77777777" w:rsidR="002B129E" w:rsidRDefault="009D7423">
            <w:pPr>
              <w:pStyle w:val="normal0"/>
              <w:rPr>
                <w:rFonts w:ascii="Muli" w:eastAsia="Muli" w:hAnsi="Muli" w:cs="Muli"/>
                <w:b/>
                <w:sz w:val="20"/>
                <w:szCs w:val="20"/>
              </w:rPr>
            </w:pPr>
            <w:r>
              <w:rPr>
                <w:rFonts w:ascii="Muli" w:eastAsia="Muli" w:hAnsi="Muli" w:cs="Muli"/>
                <w:sz w:val="20"/>
                <w:szCs w:val="20"/>
              </w:rPr>
              <w:t>The module provides strong support with a range of sample student responses and rubrics for interpreting evidence of student learning across the three dimensions. These are specific to the element of each dimension and related to the Module Phenomenon that</w:t>
            </w:r>
            <w:r>
              <w:rPr>
                <w:rFonts w:ascii="Muli" w:eastAsia="Muli" w:hAnsi="Muli" w:cs="Muli"/>
                <w:sz w:val="20"/>
                <w:szCs w:val="20"/>
              </w:rPr>
              <w:t xml:space="preserve"> provides the context for the student performance.</w:t>
            </w:r>
          </w:p>
        </w:tc>
      </w:tr>
      <w:tr w:rsidR="002B129E" w14:paraId="5142A461" w14:textId="77777777">
        <w:trPr>
          <w:trHeight w:val="1200"/>
        </w:trPr>
        <w:tc>
          <w:tcPr>
            <w:tcW w:w="14160" w:type="dxa"/>
            <w:gridSpan w:val="2"/>
            <w:shd w:val="clear" w:color="auto" w:fill="FFFFFF"/>
            <w:tcMar>
              <w:top w:w="99" w:type="dxa"/>
              <w:left w:w="99" w:type="dxa"/>
              <w:bottom w:w="99" w:type="dxa"/>
              <w:right w:w="99" w:type="dxa"/>
            </w:tcMar>
          </w:tcPr>
          <w:p w14:paraId="17319570" w14:textId="77777777" w:rsidR="002B129E" w:rsidRDefault="009D7423">
            <w:pPr>
              <w:pStyle w:val="normal0"/>
              <w:rPr>
                <w:rFonts w:ascii="Muli" w:eastAsia="Muli" w:hAnsi="Muli" w:cs="Muli"/>
                <w:sz w:val="20"/>
                <w:szCs w:val="20"/>
              </w:rPr>
            </w:pPr>
            <w:r>
              <w:rPr>
                <w:rFonts w:ascii="Muli" w:eastAsia="Muli" w:hAnsi="Muli" w:cs="Muli"/>
                <w:b/>
                <w:sz w:val="20"/>
                <w:szCs w:val="20"/>
              </w:rPr>
              <w:t>Evidence</w:t>
            </w:r>
          </w:p>
          <w:p w14:paraId="643E9E0F" w14:textId="77777777" w:rsidR="002B129E" w:rsidRDefault="009D7423">
            <w:pPr>
              <w:pStyle w:val="normal0"/>
              <w:numPr>
                <w:ilvl w:val="0"/>
                <w:numId w:val="10"/>
              </w:numPr>
              <w:contextualSpacing/>
              <w:rPr>
                <w:rFonts w:ascii="Muli" w:eastAsia="Muli" w:hAnsi="Muli" w:cs="Muli"/>
                <w:sz w:val="20"/>
                <w:szCs w:val="20"/>
              </w:rPr>
            </w:pPr>
            <w:r>
              <w:rPr>
                <w:rFonts w:ascii="Muli" w:eastAsia="Muli" w:hAnsi="Muli" w:cs="Muli"/>
                <w:sz w:val="20"/>
                <w:szCs w:val="20"/>
              </w:rPr>
              <w:t xml:space="preserve">Rubrics are provided for the Performance Tasks. The rubrics are specific to certain Performance Expectations (PEs) with the assessed dimensions highlighted. </w:t>
            </w:r>
          </w:p>
        </w:tc>
      </w:tr>
      <w:tr w:rsidR="002B129E" w14:paraId="22789C6B" w14:textId="77777777">
        <w:trPr>
          <w:trHeight w:val="640"/>
        </w:trPr>
        <w:tc>
          <w:tcPr>
            <w:tcW w:w="14160" w:type="dxa"/>
            <w:gridSpan w:val="2"/>
            <w:shd w:val="clear" w:color="auto" w:fill="D9D9D9"/>
            <w:tcMar>
              <w:top w:w="99" w:type="dxa"/>
              <w:left w:w="99" w:type="dxa"/>
              <w:bottom w:w="99" w:type="dxa"/>
              <w:right w:w="99" w:type="dxa"/>
            </w:tcMar>
          </w:tcPr>
          <w:p w14:paraId="04A8EB8B" w14:textId="77777777" w:rsidR="002B129E" w:rsidRDefault="009D7423">
            <w:pPr>
              <w:pStyle w:val="normal0"/>
              <w:rPr>
                <w:rFonts w:ascii="Muli" w:eastAsia="Muli" w:hAnsi="Muli" w:cs="Muli"/>
                <w:b/>
                <w:sz w:val="20"/>
                <w:szCs w:val="20"/>
              </w:rPr>
            </w:pPr>
            <w:r>
              <w:rPr>
                <w:rFonts w:ascii="Muli" w:eastAsia="Muli" w:hAnsi="Muli" w:cs="Muli"/>
                <w:b/>
                <w:sz w:val="20"/>
                <w:szCs w:val="20"/>
              </w:rPr>
              <w:lastRenderedPageBreak/>
              <w:t xml:space="preserve">SP2. Variety of Measure. </w:t>
            </w:r>
          </w:p>
          <w:p w14:paraId="5F60DFDA" w14:textId="77777777" w:rsidR="002B129E" w:rsidRDefault="009D7423">
            <w:pPr>
              <w:pStyle w:val="normal0"/>
              <w:rPr>
                <w:rFonts w:ascii="Muli" w:eastAsia="Muli" w:hAnsi="Muli" w:cs="Muli"/>
                <w:b/>
                <w:sz w:val="20"/>
                <w:szCs w:val="20"/>
              </w:rPr>
            </w:pPr>
            <w:r>
              <w:rPr>
                <w:rFonts w:ascii="Muli" w:eastAsia="Muli" w:hAnsi="Muli" w:cs="Muli"/>
                <w:sz w:val="20"/>
                <w:szCs w:val="20"/>
              </w:rPr>
              <w:t xml:space="preserve">The module provides strong guidance and scoring tools for using a variety of measures matched to the targeted learning goals to help students monitor their progress toward learning goals and reflect on what they have learned, how they learn it, and how to </w:t>
            </w:r>
            <w:r>
              <w:rPr>
                <w:rFonts w:ascii="Muli" w:eastAsia="Muli" w:hAnsi="Muli" w:cs="Muli"/>
                <w:sz w:val="20"/>
                <w:szCs w:val="20"/>
              </w:rPr>
              <w:t>use metacognition productively.</w:t>
            </w:r>
          </w:p>
        </w:tc>
      </w:tr>
      <w:tr w:rsidR="002B129E" w14:paraId="42CBD578" w14:textId="77777777">
        <w:trPr>
          <w:trHeight w:val="640"/>
        </w:trPr>
        <w:tc>
          <w:tcPr>
            <w:tcW w:w="9090" w:type="dxa"/>
            <w:shd w:val="clear" w:color="auto" w:fill="FFFFFF"/>
            <w:tcMar>
              <w:top w:w="99" w:type="dxa"/>
              <w:left w:w="99" w:type="dxa"/>
              <w:bottom w:w="99" w:type="dxa"/>
              <w:right w:w="99" w:type="dxa"/>
            </w:tcMar>
          </w:tcPr>
          <w:p w14:paraId="08156FC5" w14:textId="77777777" w:rsidR="002B129E" w:rsidRDefault="009D7423">
            <w:pPr>
              <w:pStyle w:val="normal0"/>
              <w:rPr>
                <w:rFonts w:ascii="Muli" w:eastAsia="Muli" w:hAnsi="Muli" w:cs="Muli"/>
                <w:sz w:val="20"/>
                <w:szCs w:val="20"/>
                <w:shd w:val="clear" w:color="auto" w:fill="FFF2CC"/>
              </w:rPr>
            </w:pPr>
            <w:r>
              <w:rPr>
                <w:rFonts w:ascii="Muli" w:eastAsia="Muli" w:hAnsi="Muli" w:cs="Muli"/>
                <w:b/>
                <w:color w:val="FF126D"/>
                <w:sz w:val="20"/>
                <w:szCs w:val="20"/>
              </w:rPr>
              <w:t>Evidence</w:t>
            </w:r>
            <w:r>
              <w:rPr>
                <w:rFonts w:ascii="Muli" w:eastAsia="Muli" w:hAnsi="Muli" w:cs="Muli"/>
                <w:sz w:val="20"/>
                <w:szCs w:val="20"/>
                <w:shd w:val="clear" w:color="auto" w:fill="FFF2CC"/>
              </w:rPr>
              <w:t xml:space="preserve"> </w:t>
            </w:r>
          </w:p>
          <w:p w14:paraId="396D8334" w14:textId="77777777" w:rsidR="002B129E" w:rsidRDefault="009D7423">
            <w:pPr>
              <w:pStyle w:val="normal0"/>
              <w:numPr>
                <w:ilvl w:val="0"/>
                <w:numId w:val="26"/>
              </w:numPr>
              <w:contextualSpacing/>
              <w:rPr>
                <w:rFonts w:ascii="Muli" w:eastAsia="Muli" w:hAnsi="Muli" w:cs="Muli"/>
                <w:sz w:val="20"/>
                <w:szCs w:val="20"/>
              </w:rPr>
            </w:pPr>
            <w:r>
              <w:rPr>
                <w:rFonts w:ascii="Muli" w:eastAsia="Muli" w:hAnsi="Muli" w:cs="Muli"/>
                <w:sz w:val="20"/>
                <w:szCs w:val="20"/>
              </w:rPr>
              <w:t>Teacher support for guidance and scoring tools matched to the learning goals is integrated through the module. In addition to the rubrics mentioned above, the printed Teacher Edition contains Twig Book reduxes with sample student answers where appropriate,</w:t>
            </w:r>
            <w:r>
              <w:rPr>
                <w:rFonts w:ascii="Muli" w:eastAsia="Muli" w:hAnsi="Muli" w:cs="Muli"/>
                <w:sz w:val="20"/>
                <w:szCs w:val="20"/>
              </w:rPr>
              <w:t xml:space="preserve"> so at a glance teachers have guidance on what student understanding looks like (for example, </w:t>
            </w:r>
            <w:r>
              <w:rPr>
                <w:rFonts w:ascii="Muli" w:eastAsia="Muli" w:hAnsi="Muli" w:cs="Muli"/>
                <w:b/>
                <w:color w:val="FF126D"/>
                <w:sz w:val="20"/>
                <w:szCs w:val="20"/>
              </w:rPr>
              <w:t>DQ1L1 TE p. 13</w:t>
            </w:r>
            <w:r>
              <w:rPr>
                <w:rFonts w:ascii="Muli" w:eastAsia="Muli" w:hAnsi="Muli" w:cs="Muli"/>
                <w:sz w:val="20"/>
                <w:szCs w:val="20"/>
              </w:rPr>
              <w:t>). A digital version of this completed Twig Book is available online.</w:t>
            </w:r>
          </w:p>
          <w:p w14:paraId="394F22EE" w14:textId="77777777" w:rsidR="002B129E" w:rsidRDefault="009D7423">
            <w:pPr>
              <w:pStyle w:val="normal0"/>
              <w:numPr>
                <w:ilvl w:val="0"/>
                <w:numId w:val="7"/>
              </w:numPr>
              <w:contextualSpacing/>
              <w:rPr>
                <w:rFonts w:ascii="Muli" w:eastAsia="Muli" w:hAnsi="Muli" w:cs="Muli"/>
                <w:sz w:val="20"/>
                <w:szCs w:val="20"/>
              </w:rPr>
            </w:pPr>
            <w:r>
              <w:rPr>
                <w:rFonts w:ascii="Muli" w:eastAsia="Muli" w:hAnsi="Muli" w:cs="Muli"/>
                <w:sz w:val="20"/>
                <w:szCs w:val="20"/>
              </w:rPr>
              <w:t>Assessments are multimodal and support a variety of learning styles and abilit</w:t>
            </w:r>
            <w:r>
              <w:rPr>
                <w:rFonts w:ascii="Muli" w:eastAsia="Muli" w:hAnsi="Muli" w:cs="Muli"/>
                <w:sz w:val="20"/>
                <w:szCs w:val="20"/>
              </w:rPr>
              <w:t>ies. They include:</w:t>
            </w:r>
          </w:p>
          <w:p w14:paraId="2BFBD16A" w14:textId="77777777" w:rsidR="002B129E" w:rsidRDefault="009D7423">
            <w:pPr>
              <w:pStyle w:val="normal0"/>
              <w:numPr>
                <w:ilvl w:val="1"/>
                <w:numId w:val="7"/>
              </w:numPr>
              <w:contextualSpacing/>
              <w:rPr>
                <w:rFonts w:ascii="Muli" w:eastAsia="Muli" w:hAnsi="Muli" w:cs="Muli"/>
                <w:sz w:val="20"/>
                <w:szCs w:val="20"/>
              </w:rPr>
            </w:pPr>
            <w:r>
              <w:rPr>
                <w:rFonts w:ascii="Muli" w:eastAsia="Muli" w:hAnsi="Muli" w:cs="Muli"/>
                <w:sz w:val="20"/>
                <w:szCs w:val="20"/>
              </w:rPr>
              <w:t xml:space="preserve">Performance Tasks (physical, oral, written, and drawn; DQ1L10 TE p. 74, DQ2L7 TE p. 126, DQ3L6 TE p. 167) </w:t>
            </w:r>
          </w:p>
          <w:p w14:paraId="769D97E3" w14:textId="77777777" w:rsidR="002B129E" w:rsidRDefault="009D7423">
            <w:pPr>
              <w:pStyle w:val="normal0"/>
              <w:numPr>
                <w:ilvl w:val="1"/>
                <w:numId w:val="7"/>
              </w:numPr>
              <w:contextualSpacing/>
              <w:rPr>
                <w:rFonts w:ascii="Muli" w:eastAsia="Muli" w:hAnsi="Muli" w:cs="Muli"/>
                <w:sz w:val="20"/>
                <w:szCs w:val="20"/>
              </w:rPr>
            </w:pPr>
            <w:r>
              <w:rPr>
                <w:rFonts w:ascii="Muli" w:eastAsia="Muli" w:hAnsi="Muli" w:cs="Muli"/>
                <w:sz w:val="20"/>
                <w:szCs w:val="20"/>
              </w:rPr>
              <w:t>Discussions (DQ1L6 TE p. 44, DQ2L6 TE p. 119)</w:t>
            </w:r>
          </w:p>
          <w:p w14:paraId="16D8CB24" w14:textId="77777777" w:rsidR="002B129E" w:rsidRDefault="009D7423">
            <w:pPr>
              <w:pStyle w:val="normal0"/>
              <w:numPr>
                <w:ilvl w:val="1"/>
                <w:numId w:val="7"/>
              </w:numPr>
              <w:contextualSpacing/>
              <w:rPr>
                <w:rFonts w:ascii="Muli" w:eastAsia="Muli" w:hAnsi="Muli" w:cs="Muli"/>
                <w:sz w:val="20"/>
                <w:szCs w:val="20"/>
              </w:rPr>
            </w:pPr>
            <w:r>
              <w:rPr>
                <w:rFonts w:ascii="Muli" w:eastAsia="Muli" w:hAnsi="Muli" w:cs="Muli"/>
                <w:sz w:val="20"/>
                <w:szCs w:val="20"/>
              </w:rPr>
              <w:t>Multiple choice (DQ1L6 TE p. 44)</w:t>
            </w:r>
          </w:p>
          <w:p w14:paraId="15F5D84E" w14:textId="77777777" w:rsidR="002B129E" w:rsidRDefault="009D7423">
            <w:pPr>
              <w:pStyle w:val="normal0"/>
              <w:numPr>
                <w:ilvl w:val="1"/>
                <w:numId w:val="7"/>
              </w:numPr>
              <w:contextualSpacing/>
              <w:rPr>
                <w:rFonts w:ascii="Muli" w:eastAsia="Muli" w:hAnsi="Muli" w:cs="Muli"/>
                <w:sz w:val="20"/>
                <w:szCs w:val="20"/>
              </w:rPr>
            </w:pPr>
            <w:r>
              <w:rPr>
                <w:rFonts w:ascii="Muli" w:eastAsia="Muli" w:hAnsi="Muli" w:cs="Muli"/>
                <w:sz w:val="20"/>
                <w:szCs w:val="20"/>
              </w:rPr>
              <w:t>Constructed responses (written, drawn, and oral; DQ</w:t>
            </w:r>
            <w:r>
              <w:rPr>
                <w:rFonts w:ascii="Muli" w:eastAsia="Muli" w:hAnsi="Muli" w:cs="Muli"/>
                <w:sz w:val="20"/>
                <w:szCs w:val="20"/>
              </w:rPr>
              <w:t>1L5 TB p. 14, DQ2L6 TB p. 43)</w:t>
            </w:r>
          </w:p>
          <w:p w14:paraId="1377F2F8" w14:textId="77777777" w:rsidR="002B129E" w:rsidRDefault="009D7423">
            <w:pPr>
              <w:pStyle w:val="normal0"/>
              <w:numPr>
                <w:ilvl w:val="0"/>
                <w:numId w:val="19"/>
              </w:numPr>
              <w:contextualSpacing/>
              <w:rPr>
                <w:rFonts w:ascii="Muli" w:eastAsia="Muli" w:hAnsi="Muli" w:cs="Muli"/>
                <w:sz w:val="20"/>
                <w:szCs w:val="20"/>
              </w:rPr>
            </w:pPr>
            <w:r>
              <w:rPr>
                <w:rFonts w:ascii="Muli" w:eastAsia="Muli" w:hAnsi="Muli" w:cs="Muli"/>
                <w:sz w:val="20"/>
                <w:szCs w:val="20"/>
              </w:rPr>
              <w:t>Text to speech function is provided for all digital assets.</w:t>
            </w:r>
          </w:p>
        </w:tc>
        <w:tc>
          <w:tcPr>
            <w:tcW w:w="5070" w:type="dxa"/>
            <w:shd w:val="clear" w:color="auto" w:fill="FFFFFF"/>
            <w:tcMar>
              <w:top w:w="99" w:type="dxa"/>
              <w:left w:w="99" w:type="dxa"/>
              <w:bottom w:w="99" w:type="dxa"/>
              <w:right w:w="99" w:type="dxa"/>
            </w:tcMar>
          </w:tcPr>
          <w:p w14:paraId="7BB0C445" w14:textId="77777777" w:rsidR="002B129E" w:rsidRDefault="009D7423">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BD71127" wp14:editId="04BA05C0">
                  <wp:extent cx="3086100" cy="16891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086100" cy="1689100"/>
                          </a:xfrm>
                          <a:prstGeom prst="rect">
                            <a:avLst/>
                          </a:prstGeom>
                          <a:ln/>
                        </pic:spPr>
                      </pic:pic>
                    </a:graphicData>
                  </a:graphic>
                </wp:inline>
              </w:drawing>
            </w:r>
          </w:p>
          <w:p w14:paraId="47668367"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DQ1L1 TE p. 13</w:t>
            </w:r>
          </w:p>
        </w:tc>
      </w:tr>
      <w:tr w:rsidR="002B129E" w14:paraId="4EC7CD72" w14:textId="77777777">
        <w:trPr>
          <w:trHeight w:val="2220"/>
        </w:trPr>
        <w:tc>
          <w:tcPr>
            <w:tcW w:w="9090" w:type="dxa"/>
            <w:shd w:val="clear" w:color="auto" w:fill="FFFFFF"/>
            <w:tcMar>
              <w:top w:w="99" w:type="dxa"/>
              <w:left w:w="99" w:type="dxa"/>
              <w:bottom w:w="99" w:type="dxa"/>
              <w:right w:w="99" w:type="dxa"/>
            </w:tcMar>
          </w:tcPr>
          <w:p w14:paraId="20C92846" w14:textId="77777777" w:rsidR="002B129E" w:rsidRDefault="009D7423">
            <w:pPr>
              <w:pStyle w:val="normal0"/>
              <w:numPr>
                <w:ilvl w:val="0"/>
                <w:numId w:val="19"/>
              </w:numPr>
              <w:rPr>
                <w:rFonts w:ascii="Muli" w:eastAsia="Muli" w:hAnsi="Muli" w:cs="Muli"/>
                <w:sz w:val="20"/>
                <w:szCs w:val="20"/>
              </w:rPr>
            </w:pPr>
            <w:r>
              <w:rPr>
                <w:rFonts w:ascii="Muli" w:eastAsia="Muli" w:hAnsi="Muli" w:cs="Muli"/>
                <w:sz w:val="20"/>
                <w:szCs w:val="20"/>
              </w:rPr>
              <w:t>Class discussions are supported with suggested question scaffolds and sample answers (</w:t>
            </w:r>
            <w:r>
              <w:rPr>
                <w:rFonts w:ascii="Muli" w:eastAsia="Muli" w:hAnsi="Muli" w:cs="Muli"/>
                <w:b/>
                <w:color w:val="FF126D"/>
                <w:sz w:val="20"/>
                <w:szCs w:val="20"/>
              </w:rPr>
              <w:t>DQ1L4 TE p. 34</w:t>
            </w:r>
            <w:r>
              <w:rPr>
                <w:rFonts w:ascii="Muli" w:eastAsia="Muli" w:hAnsi="Muli" w:cs="Muli"/>
                <w:sz w:val="20"/>
                <w:szCs w:val="20"/>
              </w:rPr>
              <w:t>, DQ1L9 TE p. 66, DQ2L2 TE. p. 88, DQ3L3 TE p. 148).</w:t>
            </w:r>
          </w:p>
        </w:tc>
        <w:tc>
          <w:tcPr>
            <w:tcW w:w="5070" w:type="dxa"/>
            <w:shd w:val="clear" w:color="auto" w:fill="FFFFFF"/>
            <w:tcMar>
              <w:top w:w="99" w:type="dxa"/>
              <w:left w:w="99" w:type="dxa"/>
              <w:bottom w:w="99" w:type="dxa"/>
              <w:right w:w="99" w:type="dxa"/>
            </w:tcMar>
          </w:tcPr>
          <w:p w14:paraId="601ACA70" w14:textId="77777777" w:rsidR="002B129E" w:rsidRDefault="009D7423">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6F7B3E89" wp14:editId="661AF8EA">
                  <wp:extent cx="3086100" cy="965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086100" cy="965200"/>
                          </a:xfrm>
                          <a:prstGeom prst="rect">
                            <a:avLst/>
                          </a:prstGeom>
                          <a:ln/>
                        </pic:spPr>
                      </pic:pic>
                    </a:graphicData>
                  </a:graphic>
                </wp:inline>
              </w:drawing>
            </w:r>
          </w:p>
          <w:p w14:paraId="7ED50FB0"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DQ1L4 TE p. 34</w:t>
            </w:r>
          </w:p>
        </w:tc>
      </w:tr>
      <w:tr w:rsidR="002B129E" w14:paraId="39778B40" w14:textId="77777777">
        <w:trPr>
          <w:trHeight w:val="3120"/>
        </w:trPr>
        <w:tc>
          <w:tcPr>
            <w:tcW w:w="9090" w:type="dxa"/>
            <w:shd w:val="clear" w:color="auto" w:fill="FFFFFF"/>
            <w:tcMar>
              <w:top w:w="99" w:type="dxa"/>
              <w:left w:w="99" w:type="dxa"/>
              <w:bottom w:w="99" w:type="dxa"/>
              <w:right w:w="99" w:type="dxa"/>
            </w:tcMar>
          </w:tcPr>
          <w:p w14:paraId="622167A7" w14:textId="77777777" w:rsidR="002B129E" w:rsidRDefault="009D7423">
            <w:pPr>
              <w:pStyle w:val="normal0"/>
              <w:numPr>
                <w:ilvl w:val="0"/>
                <w:numId w:val="19"/>
              </w:numPr>
              <w:rPr>
                <w:rFonts w:ascii="Muli" w:eastAsia="Muli" w:hAnsi="Muli" w:cs="Muli"/>
                <w:sz w:val="20"/>
                <w:szCs w:val="20"/>
              </w:rPr>
            </w:pPr>
            <w:r>
              <w:rPr>
                <w:rFonts w:ascii="Muli" w:eastAsia="Muli" w:hAnsi="Muli" w:cs="Muli"/>
                <w:sz w:val="20"/>
                <w:szCs w:val="20"/>
              </w:rPr>
              <w:lastRenderedPageBreak/>
              <w:t>The Reflect of most lessons integrates assessment opportunities for students to reflect on what they have learned and how they used the three dimensions to grow their understanding of t</w:t>
            </w:r>
            <w:r>
              <w:rPr>
                <w:rFonts w:ascii="Muli" w:eastAsia="Muli" w:hAnsi="Muli" w:cs="Muli"/>
                <w:sz w:val="20"/>
                <w:szCs w:val="20"/>
              </w:rPr>
              <w:t>he module phenomena and problems (</w:t>
            </w:r>
            <w:r>
              <w:rPr>
                <w:rFonts w:ascii="Muli" w:eastAsia="Muli" w:hAnsi="Muli" w:cs="Muli"/>
                <w:b/>
                <w:color w:val="FF126D"/>
                <w:sz w:val="20"/>
                <w:szCs w:val="20"/>
              </w:rPr>
              <w:t>DQ1L3 TB p. 10</w:t>
            </w:r>
            <w:r>
              <w:rPr>
                <w:rFonts w:ascii="Muli" w:eastAsia="Muli" w:hAnsi="Muli" w:cs="Muli"/>
                <w:sz w:val="20"/>
                <w:szCs w:val="20"/>
              </w:rPr>
              <w:t>, DQ1L7 TB p. 20, DQ2L3 TB p. 36, DQ2L4 TB p. 38, DQ3L4 TB p. 62).</w:t>
            </w:r>
          </w:p>
        </w:tc>
        <w:tc>
          <w:tcPr>
            <w:tcW w:w="5070" w:type="dxa"/>
            <w:shd w:val="clear" w:color="auto" w:fill="FFFFFF"/>
            <w:tcMar>
              <w:top w:w="99" w:type="dxa"/>
              <w:left w:w="99" w:type="dxa"/>
              <w:bottom w:w="99" w:type="dxa"/>
              <w:right w:w="99" w:type="dxa"/>
            </w:tcMar>
          </w:tcPr>
          <w:p w14:paraId="36925852" w14:textId="77777777" w:rsidR="002B129E" w:rsidRDefault="009D7423">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33CC1F9F" wp14:editId="38E5DED8">
                  <wp:extent cx="3086100" cy="15748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086100" cy="1574800"/>
                          </a:xfrm>
                          <a:prstGeom prst="rect">
                            <a:avLst/>
                          </a:prstGeom>
                          <a:ln/>
                        </pic:spPr>
                      </pic:pic>
                    </a:graphicData>
                  </a:graphic>
                </wp:inline>
              </w:drawing>
            </w:r>
          </w:p>
          <w:p w14:paraId="275315C9"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DQ1L3 TB p. 10</w:t>
            </w:r>
          </w:p>
        </w:tc>
      </w:tr>
      <w:tr w:rsidR="002B129E" w14:paraId="02EA055D" w14:textId="77777777">
        <w:trPr>
          <w:trHeight w:val="640"/>
        </w:trPr>
        <w:tc>
          <w:tcPr>
            <w:tcW w:w="14160" w:type="dxa"/>
            <w:gridSpan w:val="2"/>
            <w:shd w:val="clear" w:color="auto" w:fill="D9D9D9"/>
            <w:tcMar>
              <w:top w:w="99" w:type="dxa"/>
              <w:left w:w="99" w:type="dxa"/>
              <w:bottom w:w="99" w:type="dxa"/>
              <w:right w:w="99" w:type="dxa"/>
            </w:tcMar>
          </w:tcPr>
          <w:p w14:paraId="3A25D7D0" w14:textId="77777777" w:rsidR="002B129E" w:rsidRDefault="009D7423">
            <w:pPr>
              <w:pStyle w:val="normal0"/>
              <w:rPr>
                <w:rFonts w:ascii="Muli" w:eastAsia="Muli" w:hAnsi="Muli" w:cs="Muli"/>
                <w:b/>
                <w:sz w:val="20"/>
                <w:szCs w:val="20"/>
              </w:rPr>
            </w:pPr>
            <w:r>
              <w:rPr>
                <w:rFonts w:ascii="Muli" w:eastAsia="Muli" w:hAnsi="Muli" w:cs="Muli"/>
                <w:b/>
                <w:sz w:val="20"/>
                <w:szCs w:val="20"/>
              </w:rPr>
              <w:t xml:space="preserve">SP3. Student Progress Over Time. </w:t>
            </w:r>
          </w:p>
          <w:p w14:paraId="58D51DED" w14:textId="77777777" w:rsidR="002B129E" w:rsidRDefault="009D7423">
            <w:pPr>
              <w:pStyle w:val="normal0"/>
              <w:rPr>
                <w:rFonts w:ascii="Muli" w:eastAsia="Muli" w:hAnsi="Muli" w:cs="Muli"/>
                <w:b/>
                <w:sz w:val="20"/>
                <w:szCs w:val="20"/>
              </w:rPr>
            </w:pPr>
            <w:r>
              <w:rPr>
                <w:rFonts w:ascii="Muli" w:eastAsia="Muli" w:hAnsi="Muli" w:cs="Muli"/>
                <w:sz w:val="20"/>
                <w:szCs w:val="20"/>
              </w:rPr>
              <w:t>The module provides strong guidance for using formative and summative assessments to monitor student progress over time. Examples include support for: capturing student growth; interpreting results; adjusting instruction and planning for future instruction</w:t>
            </w:r>
            <w:r>
              <w:rPr>
                <w:rFonts w:ascii="Muli" w:eastAsia="Muli" w:hAnsi="Muli" w:cs="Muli"/>
                <w:sz w:val="20"/>
                <w:szCs w:val="20"/>
              </w:rPr>
              <w:t>; providing feedback to students; prompting students to consider what and how they’ve learned.</w:t>
            </w:r>
          </w:p>
        </w:tc>
      </w:tr>
      <w:tr w:rsidR="002B129E" w14:paraId="626A82B7" w14:textId="77777777" w:rsidTr="009D7423">
        <w:trPr>
          <w:trHeight w:val="5096"/>
        </w:trPr>
        <w:tc>
          <w:tcPr>
            <w:tcW w:w="9090" w:type="dxa"/>
            <w:shd w:val="clear" w:color="auto" w:fill="FFFFFF"/>
            <w:tcMar>
              <w:top w:w="99" w:type="dxa"/>
              <w:left w:w="99" w:type="dxa"/>
              <w:bottom w:w="99" w:type="dxa"/>
              <w:right w:w="99" w:type="dxa"/>
            </w:tcMar>
          </w:tcPr>
          <w:p w14:paraId="66DC625A" w14:textId="77777777" w:rsidR="002B129E" w:rsidRDefault="009D7423">
            <w:pPr>
              <w:pStyle w:val="normal0"/>
              <w:rPr>
                <w:rFonts w:ascii="Muli" w:eastAsia="Muli" w:hAnsi="Muli" w:cs="Muli"/>
                <w:sz w:val="20"/>
                <w:szCs w:val="20"/>
              </w:rPr>
            </w:pPr>
            <w:r>
              <w:rPr>
                <w:rFonts w:ascii="Muli" w:eastAsia="Muli" w:hAnsi="Muli" w:cs="Muli"/>
                <w:b/>
                <w:sz w:val="20"/>
                <w:szCs w:val="20"/>
              </w:rPr>
              <w:t>Evidence</w:t>
            </w:r>
          </w:p>
          <w:p w14:paraId="2FB5FEED" w14:textId="77777777" w:rsidR="002B129E" w:rsidRDefault="009D7423">
            <w:pPr>
              <w:pStyle w:val="normal0"/>
              <w:numPr>
                <w:ilvl w:val="0"/>
                <w:numId w:val="15"/>
              </w:numPr>
              <w:contextualSpacing/>
              <w:rPr>
                <w:rFonts w:ascii="Muli" w:eastAsia="Muli" w:hAnsi="Muli" w:cs="Muli"/>
                <w:sz w:val="20"/>
                <w:szCs w:val="20"/>
              </w:rPr>
            </w:pPr>
            <w:r>
              <w:rPr>
                <w:rFonts w:ascii="Muli" w:eastAsia="Muli" w:hAnsi="Muli" w:cs="Muli"/>
                <w:sz w:val="20"/>
                <w:szCs w:val="20"/>
              </w:rPr>
              <w:t>Teachers can elect to administer the Pre-Exploration digitally or in print. Answers are tagged to specific dimensions and, if administered digitally, t</w:t>
            </w:r>
            <w:r>
              <w:rPr>
                <w:rFonts w:ascii="Muli" w:eastAsia="Muli" w:hAnsi="Muli" w:cs="Muli"/>
                <w:sz w:val="20"/>
                <w:szCs w:val="20"/>
              </w:rPr>
              <w:t xml:space="preserve">eachers will be able to track student growth in level of attainment of the dimensions over time and tailor instruction accordingly. Teachers can also provide students with feedback digitally. Teachers can opt to add the scores manually for all non-digital </w:t>
            </w:r>
            <w:r>
              <w:rPr>
                <w:rFonts w:ascii="Muli" w:eastAsia="Muli" w:hAnsi="Muli" w:cs="Muli"/>
                <w:sz w:val="20"/>
                <w:szCs w:val="20"/>
              </w:rPr>
              <w:t xml:space="preserve">assessment tasks. </w:t>
            </w:r>
          </w:p>
          <w:p w14:paraId="7401879C" w14:textId="77777777" w:rsidR="002B129E" w:rsidRDefault="009D7423">
            <w:pPr>
              <w:pStyle w:val="normal0"/>
              <w:numPr>
                <w:ilvl w:val="0"/>
                <w:numId w:val="15"/>
              </w:numPr>
              <w:contextualSpacing/>
              <w:rPr>
                <w:rFonts w:ascii="Muli" w:eastAsia="Muli" w:hAnsi="Muli" w:cs="Muli"/>
                <w:sz w:val="20"/>
                <w:szCs w:val="20"/>
              </w:rPr>
            </w:pPr>
            <w:r>
              <w:rPr>
                <w:rFonts w:ascii="Muli" w:eastAsia="Muli" w:hAnsi="Muli" w:cs="Muli"/>
                <w:sz w:val="20"/>
                <w:szCs w:val="20"/>
              </w:rPr>
              <w:t>The downloadable Progress Tracker supports teachers to track students' mastery of their misconceptions as assessed in the Pre-Exploration as well as the results of Formative Assessments of the three dimensions across the Driving Question</w:t>
            </w:r>
            <w:r>
              <w:rPr>
                <w:rFonts w:ascii="Muli" w:eastAsia="Muli" w:hAnsi="Muli" w:cs="Muli"/>
                <w:sz w:val="20"/>
                <w:szCs w:val="20"/>
              </w:rPr>
              <w:t xml:space="preserve">s. For example, </w:t>
            </w:r>
            <w:r>
              <w:rPr>
                <w:rFonts w:ascii="Muli" w:eastAsia="Muli" w:hAnsi="Muli" w:cs="Muli"/>
                <w:b/>
                <w:color w:val="FF126D"/>
                <w:sz w:val="20"/>
                <w:szCs w:val="20"/>
              </w:rPr>
              <w:t>DQ1L4 Investigate TE p. 32</w:t>
            </w:r>
            <w:r>
              <w:rPr>
                <w:rFonts w:ascii="Muli" w:eastAsia="Muli" w:hAnsi="Muli" w:cs="Muli"/>
                <w:sz w:val="20"/>
                <w:szCs w:val="20"/>
              </w:rPr>
              <w:t>. Guidance for teachers on how to adjust instruction for students needing more support to clear up their misconceptions is provided at point of use in the instructions (for example, DQ1L4 Spark TE p.30, DQ1L5 Spark</w:t>
            </w:r>
            <w:r>
              <w:rPr>
                <w:rFonts w:ascii="Muli" w:eastAsia="Muli" w:hAnsi="Muli" w:cs="Muli"/>
                <w:sz w:val="20"/>
                <w:szCs w:val="20"/>
              </w:rPr>
              <w:t xml:space="preserve"> TE p. 38, DQ1L5 Investigate TE p. 40).</w:t>
            </w:r>
          </w:p>
        </w:tc>
        <w:tc>
          <w:tcPr>
            <w:tcW w:w="5070" w:type="dxa"/>
            <w:shd w:val="clear" w:color="auto" w:fill="FFFFFF"/>
            <w:tcMar>
              <w:top w:w="99" w:type="dxa"/>
              <w:left w:w="99" w:type="dxa"/>
              <w:bottom w:w="99" w:type="dxa"/>
              <w:right w:w="99" w:type="dxa"/>
            </w:tcMar>
          </w:tcPr>
          <w:p w14:paraId="79BC70BE" w14:textId="77777777" w:rsidR="002B129E" w:rsidRDefault="009D7423">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65A2D444" wp14:editId="32B61FB4">
                  <wp:extent cx="2698750" cy="1228725"/>
                  <wp:effectExtent l="12700" t="12700" r="12700" b="127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3288" r="9362" b="12837"/>
                          <a:stretch>
                            <a:fillRect/>
                          </a:stretch>
                        </pic:blipFill>
                        <pic:spPr>
                          <a:xfrm>
                            <a:off x="0" y="0"/>
                            <a:ext cx="2698750" cy="1228725"/>
                          </a:xfrm>
                          <a:prstGeom prst="rect">
                            <a:avLst/>
                          </a:prstGeom>
                          <a:ln w="12700">
                            <a:solidFill>
                              <a:srgbClr val="CCCCCC"/>
                            </a:solidFill>
                            <a:prstDash val="solid"/>
                          </a:ln>
                        </pic:spPr>
                      </pic:pic>
                    </a:graphicData>
                  </a:graphic>
                </wp:inline>
              </w:drawing>
            </w:r>
          </w:p>
          <w:p w14:paraId="4D3E19A4" w14:textId="77777777" w:rsidR="002B129E" w:rsidRDefault="009D7423">
            <w:pPr>
              <w:pStyle w:val="normal0"/>
              <w:rPr>
                <w:rFonts w:ascii="Muli" w:eastAsia="Muli" w:hAnsi="Muli" w:cs="Muli"/>
                <w:b/>
                <w:sz w:val="20"/>
                <w:szCs w:val="20"/>
              </w:rPr>
            </w:pPr>
            <w:r>
              <w:rPr>
                <w:rFonts w:ascii="Muli" w:eastAsia="Muli" w:hAnsi="Muli" w:cs="Muli"/>
                <w:b/>
                <w:color w:val="FF126D"/>
                <w:sz w:val="20"/>
                <w:szCs w:val="20"/>
              </w:rPr>
              <w:t>DQ1L4 Investigate TE p. 32</w:t>
            </w:r>
          </w:p>
        </w:tc>
      </w:tr>
      <w:tr w:rsidR="002B129E" w14:paraId="0787A081" w14:textId="77777777">
        <w:trPr>
          <w:trHeight w:val="640"/>
        </w:trPr>
        <w:tc>
          <w:tcPr>
            <w:tcW w:w="14160" w:type="dxa"/>
            <w:gridSpan w:val="2"/>
            <w:shd w:val="clear" w:color="auto" w:fill="D9D9D9"/>
            <w:tcMar>
              <w:top w:w="99" w:type="dxa"/>
              <w:left w:w="99" w:type="dxa"/>
              <w:bottom w:w="99" w:type="dxa"/>
              <w:right w:w="99" w:type="dxa"/>
            </w:tcMar>
          </w:tcPr>
          <w:p w14:paraId="2B259407" w14:textId="77777777" w:rsidR="002B129E" w:rsidRDefault="009D7423">
            <w:pPr>
              <w:pStyle w:val="normal0"/>
              <w:rPr>
                <w:rFonts w:ascii="Muli" w:eastAsia="Muli" w:hAnsi="Muli" w:cs="Muli"/>
                <w:b/>
                <w:sz w:val="20"/>
                <w:szCs w:val="20"/>
              </w:rPr>
            </w:pPr>
            <w:r>
              <w:rPr>
                <w:rFonts w:ascii="Muli" w:eastAsia="Muli" w:hAnsi="Muli" w:cs="Muli"/>
                <w:b/>
                <w:sz w:val="20"/>
                <w:szCs w:val="20"/>
              </w:rPr>
              <w:lastRenderedPageBreak/>
              <w:t>SP4. Equitable Access.</w:t>
            </w:r>
          </w:p>
          <w:p w14:paraId="5BAC9972" w14:textId="77777777" w:rsidR="002B129E" w:rsidRDefault="009D7423">
            <w:pPr>
              <w:pStyle w:val="normal0"/>
              <w:rPr>
                <w:rFonts w:ascii="Muli" w:eastAsia="Muli" w:hAnsi="Muli" w:cs="Muli"/>
                <w:b/>
                <w:sz w:val="20"/>
                <w:szCs w:val="20"/>
              </w:rPr>
            </w:pPr>
            <w:r>
              <w:rPr>
                <w:rFonts w:ascii="Muli" w:eastAsia="Muli" w:hAnsi="Muli" w:cs="Muli"/>
                <w:sz w:val="20"/>
                <w:szCs w:val="20"/>
              </w:rPr>
              <w:t>The module provides strong support and strategies for ensuring that assessments are accessible to students from diverse backgrounds and with diverse learning needs.</w:t>
            </w:r>
          </w:p>
        </w:tc>
      </w:tr>
      <w:tr w:rsidR="002B129E" w14:paraId="6AB56C7C" w14:textId="77777777">
        <w:trPr>
          <w:trHeight w:val="3540"/>
        </w:trPr>
        <w:tc>
          <w:tcPr>
            <w:tcW w:w="9090" w:type="dxa"/>
            <w:shd w:val="clear" w:color="auto" w:fill="FFFFFF"/>
            <w:tcMar>
              <w:top w:w="99" w:type="dxa"/>
              <w:left w:w="99" w:type="dxa"/>
              <w:bottom w:w="99" w:type="dxa"/>
              <w:right w:w="99" w:type="dxa"/>
            </w:tcMar>
          </w:tcPr>
          <w:p w14:paraId="79253287"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231051B1" w14:textId="77777777" w:rsidR="002B129E" w:rsidRDefault="009D7423">
            <w:pPr>
              <w:pStyle w:val="normal0"/>
              <w:numPr>
                <w:ilvl w:val="0"/>
                <w:numId w:val="17"/>
              </w:numPr>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w:t>
            </w:r>
            <w:r>
              <w:rPr>
                <w:rFonts w:ascii="Muli" w:eastAsia="Muli" w:hAnsi="Muli" w:cs="Muli"/>
                <w:sz w:val="20"/>
                <w:szCs w:val="20"/>
              </w:rPr>
              <w:t>riting, drawing, physical models, and oral presentations, allowing all students to access a range of assessment types to suit their learning style and/or reading level.</w:t>
            </w:r>
          </w:p>
          <w:p w14:paraId="441AB576" w14:textId="77777777" w:rsidR="002B129E" w:rsidRDefault="009D7423">
            <w:pPr>
              <w:pStyle w:val="normal0"/>
              <w:numPr>
                <w:ilvl w:val="0"/>
                <w:numId w:val="17"/>
              </w:numPr>
              <w:contextualSpacing/>
              <w:rPr>
                <w:rFonts w:ascii="Muli" w:eastAsia="Muli" w:hAnsi="Muli" w:cs="Muli"/>
                <w:sz w:val="20"/>
                <w:szCs w:val="20"/>
              </w:rPr>
            </w:pPr>
            <w:r>
              <w:rPr>
                <w:rFonts w:ascii="Muli" w:eastAsia="Muli" w:hAnsi="Muli" w:cs="Muli"/>
                <w:sz w:val="20"/>
                <w:szCs w:val="20"/>
              </w:rPr>
              <w:t>The digital TB and digital assessment items (Pre-Exploration) have a text to speech fun</w:t>
            </w:r>
            <w:r>
              <w:rPr>
                <w:rFonts w:ascii="Muli" w:eastAsia="Muli" w:hAnsi="Muli" w:cs="Muli"/>
                <w:sz w:val="20"/>
                <w:szCs w:val="20"/>
              </w:rPr>
              <w:t>ction allowing students of all reading levels to access the assessments.</w:t>
            </w:r>
          </w:p>
          <w:p w14:paraId="4FB0589E" w14:textId="77777777" w:rsidR="002B129E" w:rsidRDefault="009D7423">
            <w:pPr>
              <w:pStyle w:val="normal0"/>
              <w:numPr>
                <w:ilvl w:val="0"/>
                <w:numId w:val="17"/>
              </w:numPr>
              <w:contextualSpacing/>
              <w:rPr>
                <w:rFonts w:ascii="Muli" w:eastAsia="Muli" w:hAnsi="Muli" w:cs="Muli"/>
                <w:sz w:val="20"/>
                <w:szCs w:val="20"/>
              </w:rPr>
            </w:pPr>
            <w:r>
              <w:rPr>
                <w:rFonts w:ascii="Muli" w:eastAsia="Muli" w:hAnsi="Muli" w:cs="Muli"/>
                <w:sz w:val="20"/>
                <w:szCs w:val="20"/>
              </w:rPr>
              <w:t xml:space="preserve">Writing, Reading, Listening, and Speaking domain tasks dedicated to monitoring science-relevant English language development are integrated into the core instructional resources </w:t>
            </w:r>
            <w:r>
              <w:rPr>
                <w:rFonts w:ascii="Muli" w:eastAsia="Muli" w:hAnsi="Muli" w:cs="Muli"/>
                <w:b/>
                <w:color w:val="FF126D"/>
                <w:sz w:val="20"/>
                <w:szCs w:val="20"/>
              </w:rPr>
              <w:t>(DQ1L</w:t>
            </w:r>
            <w:r>
              <w:rPr>
                <w:rFonts w:ascii="Muli" w:eastAsia="Muli" w:hAnsi="Muli" w:cs="Muli"/>
                <w:b/>
                <w:color w:val="FF126D"/>
                <w:sz w:val="20"/>
                <w:szCs w:val="20"/>
              </w:rPr>
              <w:t>9 TE p. 66)</w:t>
            </w:r>
            <w:r>
              <w:rPr>
                <w:rFonts w:ascii="Muli" w:eastAsia="Muli" w:hAnsi="Muli" w:cs="Muli"/>
                <w:sz w:val="20"/>
                <w:szCs w:val="20"/>
              </w:rPr>
              <w:t xml:space="preserve"> and the On-Level reader lessons (Chapter 3 Second Read TE p. 185).</w:t>
            </w:r>
          </w:p>
        </w:tc>
        <w:tc>
          <w:tcPr>
            <w:tcW w:w="5070" w:type="dxa"/>
            <w:shd w:val="clear" w:color="auto" w:fill="FFFFFF"/>
            <w:tcMar>
              <w:top w:w="99" w:type="dxa"/>
              <w:left w:w="99" w:type="dxa"/>
              <w:bottom w:w="99" w:type="dxa"/>
              <w:right w:w="99" w:type="dxa"/>
            </w:tcMar>
          </w:tcPr>
          <w:p w14:paraId="3B447CB1" w14:textId="77777777" w:rsidR="002B129E" w:rsidRDefault="009D7423">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0FEAFE8E" wp14:editId="45344FF9">
                  <wp:extent cx="3086100" cy="18923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086100" cy="1892300"/>
                          </a:xfrm>
                          <a:prstGeom prst="rect">
                            <a:avLst/>
                          </a:prstGeom>
                          <a:ln/>
                        </pic:spPr>
                      </pic:pic>
                    </a:graphicData>
                  </a:graphic>
                </wp:inline>
              </w:drawing>
            </w:r>
          </w:p>
          <w:p w14:paraId="4D705D3B" w14:textId="77777777" w:rsidR="002B129E" w:rsidRDefault="009D7423">
            <w:pPr>
              <w:pStyle w:val="normal0"/>
              <w:rPr>
                <w:rFonts w:ascii="Muli" w:eastAsia="Muli" w:hAnsi="Muli" w:cs="Muli"/>
                <w:b/>
                <w:color w:val="FF126D"/>
                <w:sz w:val="20"/>
                <w:szCs w:val="20"/>
              </w:rPr>
            </w:pPr>
            <w:r>
              <w:rPr>
                <w:rFonts w:ascii="Muli" w:eastAsia="Muli" w:hAnsi="Muli" w:cs="Muli"/>
                <w:b/>
                <w:color w:val="FF126D"/>
                <w:sz w:val="20"/>
                <w:szCs w:val="20"/>
              </w:rPr>
              <w:t>DQ1L9 TE p. 66</w:t>
            </w:r>
          </w:p>
        </w:tc>
      </w:tr>
    </w:tbl>
    <w:p w14:paraId="4D0FB8E6" w14:textId="77777777" w:rsidR="002B129E" w:rsidRDefault="002B129E">
      <w:pPr>
        <w:pStyle w:val="normal0"/>
        <w:spacing w:line="276" w:lineRule="auto"/>
      </w:pPr>
    </w:p>
    <w:p w14:paraId="6F351FF3" w14:textId="77777777" w:rsidR="002B129E" w:rsidRDefault="002B129E">
      <w:pPr>
        <w:pStyle w:val="normal0"/>
        <w:pBdr>
          <w:top w:val="nil"/>
          <w:left w:val="nil"/>
          <w:bottom w:val="nil"/>
          <w:right w:val="nil"/>
          <w:between w:val="nil"/>
        </w:pBdr>
        <w:spacing w:line="276" w:lineRule="auto"/>
      </w:pPr>
    </w:p>
    <w:p w14:paraId="6417A9A8" w14:textId="77777777" w:rsidR="002B129E" w:rsidRDefault="002B129E">
      <w:pPr>
        <w:pStyle w:val="normal0"/>
        <w:pBdr>
          <w:top w:val="nil"/>
          <w:left w:val="nil"/>
          <w:bottom w:val="nil"/>
          <w:right w:val="nil"/>
          <w:between w:val="nil"/>
        </w:pBdr>
        <w:spacing w:line="276" w:lineRule="auto"/>
      </w:pPr>
    </w:p>
    <w:p w14:paraId="7AD47FF3" w14:textId="77777777" w:rsidR="009D7423" w:rsidRDefault="009D7423">
      <w:r>
        <w:br w:type="page"/>
      </w:r>
    </w:p>
    <w:p w14:paraId="453D7906" w14:textId="77777777" w:rsidR="002B129E" w:rsidRDefault="002B129E">
      <w:pPr>
        <w:pStyle w:val="normal0"/>
        <w:pBdr>
          <w:top w:val="nil"/>
          <w:left w:val="nil"/>
          <w:bottom w:val="nil"/>
          <w:right w:val="nil"/>
          <w:between w:val="nil"/>
        </w:pBdr>
        <w:spacing w:line="276" w:lineRule="auto"/>
      </w:pPr>
    </w:p>
    <w:p w14:paraId="6258BCCF" w14:textId="77777777" w:rsidR="002B129E" w:rsidRDefault="002B129E">
      <w:pPr>
        <w:pStyle w:val="normal0"/>
        <w:pBdr>
          <w:top w:val="nil"/>
          <w:left w:val="nil"/>
          <w:bottom w:val="nil"/>
          <w:right w:val="nil"/>
          <w:between w:val="nil"/>
        </w:pBdr>
        <w:spacing w:line="276" w:lineRule="auto"/>
      </w:pPr>
    </w:p>
    <w:tbl>
      <w:tblPr>
        <w:tblStyle w:val="a8"/>
        <w:tblW w:w="142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70"/>
        <w:gridCol w:w="2255"/>
        <w:gridCol w:w="2255"/>
        <w:gridCol w:w="2255"/>
      </w:tblGrid>
      <w:tr w:rsidR="002B129E" w14:paraId="0CCCBE5F" w14:textId="77777777">
        <w:trPr>
          <w:trHeight w:val="560"/>
        </w:trPr>
        <w:tc>
          <w:tcPr>
            <w:tcW w:w="7470" w:type="dxa"/>
            <w:shd w:val="clear" w:color="auto" w:fill="2F5496"/>
          </w:tcPr>
          <w:p w14:paraId="0150450B" w14:textId="77777777" w:rsidR="002B129E" w:rsidRDefault="009D7423">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255" w:type="dxa"/>
            <w:shd w:val="clear" w:color="auto" w:fill="2F5496"/>
          </w:tcPr>
          <w:p w14:paraId="7F75636D" w14:textId="77777777" w:rsidR="002B129E" w:rsidRDefault="009D7423">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557441C9" w14:textId="77777777" w:rsidR="002B129E" w:rsidRDefault="009D7423">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255" w:type="dxa"/>
            <w:shd w:val="clear" w:color="auto" w:fill="2F5496"/>
          </w:tcPr>
          <w:p w14:paraId="680CA4B1" w14:textId="77777777" w:rsidR="002B129E" w:rsidRDefault="009D7423">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481710FD" w14:textId="77777777" w:rsidR="002B129E" w:rsidRDefault="009D7423">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255" w:type="dxa"/>
            <w:shd w:val="clear" w:color="auto" w:fill="2F5496"/>
          </w:tcPr>
          <w:p w14:paraId="37F388F6" w14:textId="77777777" w:rsidR="002B129E" w:rsidRDefault="009D7423">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14DA110C" w14:textId="77777777" w:rsidR="002B129E" w:rsidRDefault="009D7423">
            <w:pPr>
              <w:pStyle w:val="normal0"/>
              <w:spacing w:before="100"/>
              <w:ind w:left="135"/>
              <w:jc w:val="center"/>
              <w:rPr>
                <w:rFonts w:ascii="Muli" w:eastAsia="Muli" w:hAnsi="Muli" w:cs="Muli"/>
                <w:color w:val="FFFFFF"/>
                <w:sz w:val="20"/>
                <w:szCs w:val="20"/>
              </w:rPr>
            </w:pPr>
            <w:r>
              <w:rPr>
                <w:rFonts w:ascii="Muli" w:eastAsia="Muli" w:hAnsi="Muli" w:cs="Muli"/>
                <w:b/>
                <w:color w:val="FFFFFF"/>
                <w:sz w:val="20"/>
                <w:szCs w:val="20"/>
              </w:rPr>
              <w:t>1</w:t>
            </w:r>
          </w:p>
        </w:tc>
      </w:tr>
      <w:tr w:rsidR="002B129E" w14:paraId="0A2885E6" w14:textId="77777777">
        <w:trPr>
          <w:trHeight w:val="2020"/>
        </w:trPr>
        <w:tc>
          <w:tcPr>
            <w:tcW w:w="7470" w:type="dxa"/>
            <w:tcBorders>
              <w:bottom w:val="single" w:sz="4" w:space="0" w:color="000000"/>
            </w:tcBorders>
            <w:tcMar>
              <w:top w:w="99" w:type="dxa"/>
              <w:left w:w="99" w:type="dxa"/>
              <w:bottom w:w="99" w:type="dxa"/>
              <w:right w:w="99" w:type="dxa"/>
            </w:tcMar>
          </w:tcPr>
          <w:p w14:paraId="25B00127" w14:textId="77777777" w:rsidR="002B129E" w:rsidRDefault="009D7423">
            <w:pPr>
              <w:pStyle w:val="normal0"/>
              <w:pBdr>
                <w:top w:val="nil"/>
                <w:left w:val="nil"/>
                <w:bottom w:val="nil"/>
                <w:right w:val="nil"/>
                <w:between w:val="nil"/>
              </w:pBdr>
              <w:spacing w:before="44"/>
              <w:ind w:right="351"/>
              <w:rPr>
                <w:rFonts w:ascii="Muli" w:eastAsia="Muli" w:hAnsi="Muli" w:cs="Muli"/>
                <w:color w:val="000000"/>
                <w:sz w:val="20"/>
                <w:szCs w:val="20"/>
              </w:rPr>
            </w:pPr>
            <w:r>
              <w:rPr>
                <w:rFonts w:ascii="Muli" w:eastAsia="Muli" w:hAnsi="Muli" w:cs="Muli"/>
                <w:b/>
                <w:color w:val="000000"/>
                <w:sz w:val="20"/>
                <w:szCs w:val="20"/>
              </w:rPr>
              <w:t xml:space="preserve">TS1. Phenomenon/Problem Driven Three-Dimensional Learning. </w:t>
            </w:r>
            <w:r>
              <w:rPr>
                <w:rFonts w:ascii="Muli" w:eastAsia="Muli" w:hAnsi="Muli" w:cs="Muli"/>
                <w:color w:val="000000"/>
                <w:sz w:val="20"/>
                <w:szCs w:val="20"/>
              </w:rPr>
              <w:t>Teacher materials provide:</w:t>
            </w:r>
          </w:p>
          <w:p w14:paraId="6C29094F" w14:textId="77777777" w:rsidR="002B129E" w:rsidRDefault="009D7423">
            <w:pPr>
              <w:pStyle w:val="normal0"/>
              <w:numPr>
                <w:ilvl w:val="0"/>
                <w:numId w:val="2"/>
              </w:numPr>
              <w:pBdr>
                <w:top w:val="nil"/>
                <w:left w:val="nil"/>
                <w:bottom w:val="nil"/>
                <w:right w:val="nil"/>
                <w:between w:val="nil"/>
              </w:pBdr>
              <w:tabs>
                <w:tab w:val="left" w:pos="460"/>
                <w:tab w:val="left" w:pos="461"/>
              </w:tabs>
              <w:ind w:right="710"/>
              <w:rPr>
                <w:rFonts w:ascii="Muli" w:eastAsia="Muli" w:hAnsi="Muli" w:cs="Muli"/>
                <w:color w:val="000000"/>
              </w:rPr>
            </w:pPr>
            <w:r>
              <w:rPr>
                <w:rFonts w:ascii="Muli" w:eastAsia="Muli" w:hAnsi="Muli" w:cs="Muli"/>
                <w:color w:val="000000"/>
                <w:sz w:val="20"/>
                <w:szCs w:val="20"/>
              </w:rPr>
              <w:t>background information about the phenomena or problems included in the learning sequence and across sequences.</w:t>
            </w:r>
          </w:p>
          <w:p w14:paraId="7D571B39" w14:textId="77777777" w:rsidR="002B129E" w:rsidRDefault="009D7423">
            <w:pPr>
              <w:pStyle w:val="normal0"/>
              <w:numPr>
                <w:ilvl w:val="0"/>
                <w:numId w:val="2"/>
              </w:numPr>
              <w:pBdr>
                <w:top w:val="nil"/>
                <w:left w:val="nil"/>
                <w:bottom w:val="nil"/>
                <w:right w:val="nil"/>
                <w:between w:val="nil"/>
              </w:pBdr>
              <w:tabs>
                <w:tab w:val="left" w:pos="460"/>
                <w:tab w:val="left" w:pos="461"/>
              </w:tabs>
              <w:spacing w:line="242" w:lineRule="auto"/>
              <w:rPr>
                <w:rFonts w:ascii="Muli" w:eastAsia="Muli" w:hAnsi="Muli" w:cs="Muli"/>
                <w:color w:val="000000"/>
              </w:rPr>
            </w:pPr>
            <w:r>
              <w:rPr>
                <w:rFonts w:ascii="Muli" w:eastAsia="Muli" w:hAnsi="Muli" w:cs="Muli"/>
                <w:color w:val="000000"/>
                <w:sz w:val="20"/>
                <w:szCs w:val="20"/>
              </w:rPr>
              <w:t>an explanation of the role of phenomena or problems in driving student learning.</w:t>
            </w:r>
          </w:p>
          <w:p w14:paraId="11BC5FE8" w14:textId="77777777" w:rsidR="002B129E" w:rsidRDefault="009D7423">
            <w:pPr>
              <w:pStyle w:val="normal0"/>
              <w:numPr>
                <w:ilvl w:val="0"/>
                <w:numId w:val="2"/>
              </w:numPr>
              <w:pBdr>
                <w:top w:val="nil"/>
                <w:left w:val="nil"/>
                <w:bottom w:val="nil"/>
                <w:right w:val="nil"/>
                <w:between w:val="nil"/>
              </w:pBdr>
              <w:tabs>
                <w:tab w:val="left" w:pos="460"/>
                <w:tab w:val="left" w:pos="461"/>
              </w:tabs>
              <w:ind w:right="176"/>
              <w:rPr>
                <w:rFonts w:ascii="Muli" w:eastAsia="Muli" w:hAnsi="Muli" w:cs="Muli"/>
                <w:color w:val="000000"/>
              </w:rPr>
            </w:pPr>
            <w:r>
              <w:rPr>
                <w:rFonts w:ascii="Muli" w:eastAsia="Muli" w:hAnsi="Muli" w:cs="Muli"/>
                <w:color w:val="000000"/>
                <w:sz w:val="20"/>
                <w:szCs w:val="20"/>
              </w:rPr>
              <w:t>rationale for why the unit phenomena or problems were selected for the targeted DCIs, SEPs, and CCCs.</w:t>
            </w:r>
          </w:p>
          <w:p w14:paraId="02B8070D" w14:textId="77777777" w:rsidR="002B129E" w:rsidRDefault="009D7423">
            <w:pPr>
              <w:pStyle w:val="normal0"/>
              <w:pBdr>
                <w:top w:val="nil"/>
                <w:left w:val="nil"/>
                <w:bottom w:val="nil"/>
                <w:right w:val="nil"/>
                <w:between w:val="nil"/>
              </w:pBdr>
              <w:spacing w:before="1"/>
              <w:rPr>
                <w:rFonts w:ascii="Muli" w:eastAsia="Muli" w:hAnsi="Muli" w:cs="Muli"/>
                <w:color w:val="000000"/>
                <w:sz w:val="20"/>
                <w:szCs w:val="20"/>
              </w:rPr>
            </w:pPr>
            <w:r>
              <w:rPr>
                <w:rFonts w:ascii="Muli" w:eastAsia="Muli" w:hAnsi="Muli" w:cs="Muli"/>
                <w:color w:val="000000"/>
                <w:sz w:val="20"/>
                <w:szCs w:val="20"/>
              </w:rPr>
              <w:t>Refer to F1, F2, SW1, SW2, SP1</w:t>
            </w:r>
          </w:p>
        </w:tc>
        <w:tc>
          <w:tcPr>
            <w:tcW w:w="2255" w:type="dxa"/>
            <w:tcBorders>
              <w:bottom w:val="single" w:sz="4" w:space="0" w:color="000000"/>
            </w:tcBorders>
            <w:tcMar>
              <w:top w:w="99" w:type="dxa"/>
              <w:left w:w="99" w:type="dxa"/>
              <w:bottom w:w="99" w:type="dxa"/>
              <w:right w:w="99" w:type="dxa"/>
            </w:tcMar>
          </w:tcPr>
          <w:p w14:paraId="68F320F0" w14:textId="77777777" w:rsidR="002B129E" w:rsidRDefault="009D7423">
            <w:pPr>
              <w:pStyle w:val="normal0"/>
              <w:pBdr>
                <w:top w:val="nil"/>
                <w:left w:val="nil"/>
                <w:bottom w:val="nil"/>
                <w:right w:val="nil"/>
                <w:between w:val="nil"/>
              </w:pBdr>
              <w:spacing w:before="44"/>
              <w:ind w:right="122"/>
              <w:rPr>
                <w:rFonts w:ascii="Muli" w:eastAsia="Muli" w:hAnsi="Muli" w:cs="Muli"/>
                <w:color w:val="000000"/>
                <w:sz w:val="20"/>
                <w:szCs w:val="20"/>
              </w:rPr>
            </w:pPr>
            <w:r>
              <w:rPr>
                <w:rFonts w:ascii="Muli" w:eastAsia="Muli" w:hAnsi="Muli" w:cs="Muli"/>
                <w:color w:val="000000"/>
                <w:sz w:val="20"/>
                <w:szCs w:val="20"/>
              </w:rPr>
              <w:t>Materials provide clear guidance to teachers on how students develop, use, and integrate the three dimensions to make sense of phenomena or design solutions to problems.</w:t>
            </w:r>
          </w:p>
        </w:tc>
        <w:tc>
          <w:tcPr>
            <w:tcW w:w="2255" w:type="dxa"/>
            <w:tcBorders>
              <w:bottom w:val="single" w:sz="4" w:space="0" w:color="000000"/>
            </w:tcBorders>
            <w:tcMar>
              <w:top w:w="99" w:type="dxa"/>
              <w:left w:w="99" w:type="dxa"/>
              <w:bottom w:w="99" w:type="dxa"/>
              <w:right w:w="99" w:type="dxa"/>
            </w:tcMar>
          </w:tcPr>
          <w:p w14:paraId="52437F44" w14:textId="77777777" w:rsidR="002B129E" w:rsidRDefault="009D7423">
            <w:pPr>
              <w:pStyle w:val="normal0"/>
              <w:pBdr>
                <w:top w:val="nil"/>
                <w:left w:val="nil"/>
                <w:bottom w:val="nil"/>
                <w:right w:val="nil"/>
                <w:between w:val="nil"/>
              </w:pBdr>
              <w:ind w:right="122"/>
              <w:rPr>
                <w:rFonts w:ascii="Muli" w:eastAsia="Muli" w:hAnsi="Muli" w:cs="Muli"/>
                <w:color w:val="000000"/>
                <w:sz w:val="20"/>
                <w:szCs w:val="20"/>
              </w:rPr>
            </w:pPr>
            <w:r>
              <w:rPr>
                <w:rFonts w:ascii="Muli" w:eastAsia="Muli" w:hAnsi="Muli" w:cs="Muli"/>
                <w:color w:val="000000"/>
                <w:sz w:val="20"/>
                <w:szCs w:val="20"/>
              </w:rPr>
              <w:t>Materials provide some guidance to teachers about how students develop, use, and integ</w:t>
            </w:r>
            <w:r>
              <w:rPr>
                <w:rFonts w:ascii="Muli" w:eastAsia="Muli" w:hAnsi="Muli" w:cs="Muli"/>
                <w:color w:val="000000"/>
                <w:sz w:val="20"/>
                <w:szCs w:val="20"/>
              </w:rPr>
              <w:t>rate the three dimensions.</w:t>
            </w:r>
          </w:p>
        </w:tc>
        <w:tc>
          <w:tcPr>
            <w:tcW w:w="2255" w:type="dxa"/>
            <w:tcBorders>
              <w:bottom w:val="single" w:sz="4" w:space="0" w:color="000000"/>
            </w:tcBorders>
            <w:tcMar>
              <w:top w:w="99" w:type="dxa"/>
              <w:left w:w="99" w:type="dxa"/>
              <w:bottom w:w="99" w:type="dxa"/>
              <w:right w:w="99" w:type="dxa"/>
            </w:tcMar>
          </w:tcPr>
          <w:p w14:paraId="027629A6" w14:textId="77777777" w:rsidR="002B129E" w:rsidRDefault="009D7423">
            <w:pPr>
              <w:pStyle w:val="normal0"/>
              <w:pBdr>
                <w:top w:val="nil"/>
                <w:left w:val="nil"/>
                <w:bottom w:val="nil"/>
                <w:right w:val="nil"/>
                <w:between w:val="nil"/>
              </w:pBdr>
              <w:ind w:right="135"/>
              <w:rPr>
                <w:rFonts w:ascii="Muli" w:eastAsia="Muli" w:hAnsi="Muli" w:cs="Muli"/>
                <w:color w:val="000000"/>
                <w:sz w:val="20"/>
                <w:szCs w:val="20"/>
              </w:rPr>
            </w:pPr>
            <w:r>
              <w:rPr>
                <w:rFonts w:ascii="Muli" w:eastAsia="Muli" w:hAnsi="Muli" w:cs="Muli"/>
                <w:color w:val="000000"/>
                <w:sz w:val="20"/>
                <w:szCs w:val="20"/>
              </w:rPr>
              <w:t>Materials provide little guidance on developing, using, or integrating them to make sense of phenomena or design solutions to problems.</w:t>
            </w:r>
          </w:p>
        </w:tc>
      </w:tr>
      <w:tr w:rsidR="002B129E" w14:paraId="19B93711" w14:textId="77777777">
        <w:trPr>
          <w:trHeight w:val="2280"/>
        </w:trPr>
        <w:tc>
          <w:tcPr>
            <w:tcW w:w="7470" w:type="dxa"/>
            <w:tcBorders>
              <w:top w:val="single" w:sz="4" w:space="0" w:color="000000"/>
            </w:tcBorders>
            <w:tcMar>
              <w:top w:w="99" w:type="dxa"/>
              <w:left w:w="99" w:type="dxa"/>
              <w:bottom w:w="99" w:type="dxa"/>
              <w:right w:w="99" w:type="dxa"/>
            </w:tcMar>
          </w:tcPr>
          <w:p w14:paraId="4FA56BB3" w14:textId="77777777" w:rsidR="002B129E" w:rsidRDefault="009D7423">
            <w:pPr>
              <w:pStyle w:val="normal0"/>
              <w:pBdr>
                <w:top w:val="nil"/>
                <w:left w:val="nil"/>
                <w:bottom w:val="nil"/>
                <w:right w:val="nil"/>
                <w:between w:val="nil"/>
              </w:pBdr>
              <w:spacing w:before="42"/>
              <w:rPr>
                <w:rFonts w:ascii="Muli" w:eastAsia="Muli" w:hAnsi="Muli" w:cs="Muli"/>
                <w:color w:val="000000"/>
                <w:sz w:val="20"/>
                <w:szCs w:val="20"/>
              </w:rPr>
            </w:pPr>
            <w:r>
              <w:rPr>
                <w:rFonts w:ascii="Muli" w:eastAsia="Muli" w:hAnsi="Muli" w:cs="Muli"/>
                <w:b/>
                <w:color w:val="000000"/>
                <w:sz w:val="20"/>
                <w:szCs w:val="20"/>
              </w:rPr>
              <w:t xml:space="preserve">TS2. Coherence. </w:t>
            </w:r>
            <w:r>
              <w:rPr>
                <w:rFonts w:ascii="Muli" w:eastAsia="Muli" w:hAnsi="Muli" w:cs="Muli"/>
                <w:color w:val="000000"/>
                <w:sz w:val="20"/>
                <w:szCs w:val="20"/>
              </w:rPr>
              <w:t>Teacher materials describe and provide a rationale for:</w:t>
            </w:r>
          </w:p>
          <w:p w14:paraId="182183C4" w14:textId="77777777" w:rsidR="002B129E" w:rsidRDefault="009D7423">
            <w:pPr>
              <w:pStyle w:val="normal0"/>
              <w:numPr>
                <w:ilvl w:val="0"/>
                <w:numId w:val="1"/>
              </w:numPr>
              <w:pBdr>
                <w:top w:val="nil"/>
                <w:left w:val="nil"/>
                <w:bottom w:val="nil"/>
                <w:right w:val="nil"/>
                <w:between w:val="nil"/>
              </w:pBdr>
              <w:tabs>
                <w:tab w:val="left" w:pos="460"/>
                <w:tab w:val="left" w:pos="461"/>
              </w:tabs>
              <w:spacing w:before="1"/>
              <w:ind w:right="893"/>
              <w:rPr>
                <w:rFonts w:ascii="Muli" w:eastAsia="Muli" w:hAnsi="Muli" w:cs="Muli"/>
                <w:color w:val="000000"/>
              </w:rPr>
            </w:pPr>
            <w:r>
              <w:rPr>
                <w:rFonts w:ascii="Muli" w:eastAsia="Muli" w:hAnsi="Muli" w:cs="Muli"/>
                <w:color w:val="000000"/>
                <w:sz w:val="20"/>
                <w:szCs w:val="20"/>
              </w:rPr>
              <w:t>the conceptual framework and sequence of ideas, practices, and learning experiences in the learning sequences and across sequences.</w:t>
            </w:r>
          </w:p>
          <w:p w14:paraId="58C8C746" w14:textId="77777777" w:rsidR="002B129E" w:rsidRDefault="009D7423">
            <w:pPr>
              <w:pStyle w:val="normal0"/>
              <w:numPr>
                <w:ilvl w:val="0"/>
                <w:numId w:val="1"/>
              </w:numPr>
              <w:pBdr>
                <w:top w:val="nil"/>
                <w:left w:val="nil"/>
                <w:bottom w:val="nil"/>
                <w:right w:val="nil"/>
                <w:between w:val="nil"/>
              </w:pBdr>
              <w:tabs>
                <w:tab w:val="left" w:pos="460"/>
                <w:tab w:val="left" w:pos="461"/>
              </w:tabs>
              <w:spacing w:before="1"/>
              <w:ind w:right="241"/>
              <w:rPr>
                <w:rFonts w:ascii="Muli" w:eastAsia="Muli" w:hAnsi="Muli" w:cs="Muli"/>
                <w:color w:val="000000"/>
              </w:rPr>
            </w:pPr>
            <w:r>
              <w:rPr>
                <w:rFonts w:ascii="Muli" w:eastAsia="Muli" w:hAnsi="Muli" w:cs="Muli"/>
                <w:color w:val="000000"/>
                <w:sz w:val="20"/>
                <w:szCs w:val="20"/>
              </w:rPr>
              <w:t>strategies for linking student experiences across lessons to ensure student sense-making and/or problem-solving focused on p</w:t>
            </w:r>
            <w:r>
              <w:rPr>
                <w:rFonts w:ascii="Muli" w:eastAsia="Muli" w:hAnsi="Muli" w:cs="Muli"/>
                <w:color w:val="000000"/>
                <w:sz w:val="20"/>
                <w:szCs w:val="20"/>
              </w:rPr>
              <w:t>henomena or problems is linked to learning across all three dimensions.</w:t>
            </w:r>
          </w:p>
          <w:p w14:paraId="2991B6CD" w14:textId="77777777" w:rsidR="002B129E" w:rsidRDefault="009D7423">
            <w:pPr>
              <w:pStyle w:val="normal0"/>
              <w:numPr>
                <w:ilvl w:val="0"/>
                <w:numId w:val="1"/>
              </w:numPr>
              <w:pBdr>
                <w:top w:val="nil"/>
                <w:left w:val="nil"/>
                <w:bottom w:val="nil"/>
                <w:right w:val="nil"/>
                <w:between w:val="nil"/>
              </w:pBdr>
              <w:tabs>
                <w:tab w:val="left" w:pos="459"/>
                <w:tab w:val="left" w:pos="460"/>
              </w:tabs>
              <w:ind w:left="459" w:right="143" w:hanging="359"/>
              <w:rPr>
                <w:rFonts w:ascii="Muli" w:eastAsia="Muli" w:hAnsi="Muli" w:cs="Muli"/>
                <w:color w:val="000000"/>
              </w:rPr>
            </w:pPr>
            <w:r>
              <w:rPr>
                <w:rFonts w:ascii="Muli" w:eastAsia="Muli" w:hAnsi="Muli" w:cs="Muli"/>
                <w:color w:val="000000"/>
                <w:sz w:val="20"/>
                <w:szCs w:val="20"/>
              </w:rPr>
              <w:t>Connections to other science domains, nature of science, engineering, technology, and applications of science, math, and ELA.</w:t>
            </w:r>
          </w:p>
          <w:p w14:paraId="561E9F4D" w14:textId="77777777" w:rsidR="002B129E" w:rsidRDefault="009D7423">
            <w:pPr>
              <w:pStyle w:val="normal0"/>
              <w:pBdr>
                <w:top w:val="nil"/>
                <w:left w:val="nil"/>
                <w:bottom w:val="nil"/>
                <w:right w:val="nil"/>
                <w:between w:val="nil"/>
              </w:pBdr>
              <w:spacing w:line="242" w:lineRule="auto"/>
              <w:rPr>
                <w:rFonts w:ascii="Muli" w:eastAsia="Muli" w:hAnsi="Muli" w:cs="Muli"/>
                <w:color w:val="000000"/>
                <w:sz w:val="20"/>
                <w:szCs w:val="20"/>
              </w:rPr>
            </w:pPr>
            <w:r>
              <w:rPr>
                <w:rFonts w:ascii="Muli" w:eastAsia="Muli" w:hAnsi="Muli" w:cs="Muli"/>
                <w:color w:val="000000"/>
                <w:sz w:val="20"/>
                <w:szCs w:val="20"/>
              </w:rPr>
              <w:t>Refer to F2, F3, SW2, SP2</w:t>
            </w:r>
          </w:p>
        </w:tc>
        <w:tc>
          <w:tcPr>
            <w:tcW w:w="2255" w:type="dxa"/>
            <w:tcBorders>
              <w:top w:val="single" w:sz="4" w:space="0" w:color="000000"/>
            </w:tcBorders>
            <w:tcMar>
              <w:top w:w="99" w:type="dxa"/>
              <w:left w:w="99" w:type="dxa"/>
              <w:bottom w:w="99" w:type="dxa"/>
              <w:right w:w="99" w:type="dxa"/>
            </w:tcMar>
          </w:tcPr>
          <w:p w14:paraId="6FD23C17" w14:textId="77777777" w:rsidR="002B129E" w:rsidRDefault="009D7423">
            <w:pPr>
              <w:pStyle w:val="normal0"/>
              <w:pBdr>
                <w:top w:val="nil"/>
                <w:left w:val="nil"/>
                <w:bottom w:val="nil"/>
                <w:right w:val="nil"/>
                <w:between w:val="nil"/>
              </w:pBdr>
              <w:spacing w:before="164"/>
              <w:ind w:right="106"/>
              <w:rPr>
                <w:rFonts w:ascii="Muli" w:eastAsia="Muli" w:hAnsi="Muli" w:cs="Muli"/>
                <w:color w:val="000000"/>
                <w:sz w:val="20"/>
                <w:szCs w:val="20"/>
              </w:rPr>
            </w:pPr>
            <w:r>
              <w:rPr>
                <w:rFonts w:ascii="Muli" w:eastAsia="Muli" w:hAnsi="Muli" w:cs="Muli"/>
                <w:color w:val="000000"/>
                <w:sz w:val="20"/>
                <w:szCs w:val="20"/>
              </w:rPr>
              <w:t>Materials provide strong support for understanding unit coherence and helping students link experiences to learning across all three dimensions and to phenomena or problems.</w:t>
            </w:r>
          </w:p>
        </w:tc>
        <w:tc>
          <w:tcPr>
            <w:tcW w:w="2255" w:type="dxa"/>
            <w:tcBorders>
              <w:top w:val="single" w:sz="4" w:space="0" w:color="000000"/>
            </w:tcBorders>
            <w:tcMar>
              <w:top w:w="99" w:type="dxa"/>
              <w:left w:w="99" w:type="dxa"/>
              <w:bottom w:w="99" w:type="dxa"/>
              <w:right w:w="99" w:type="dxa"/>
            </w:tcMar>
          </w:tcPr>
          <w:p w14:paraId="6F582681" w14:textId="77777777" w:rsidR="002B129E" w:rsidRDefault="009D7423">
            <w:pPr>
              <w:pStyle w:val="normal0"/>
              <w:pBdr>
                <w:top w:val="nil"/>
                <w:left w:val="nil"/>
                <w:bottom w:val="nil"/>
                <w:right w:val="nil"/>
                <w:between w:val="nil"/>
              </w:pBdr>
              <w:spacing w:before="164"/>
              <w:ind w:right="106"/>
              <w:rPr>
                <w:rFonts w:ascii="Muli" w:eastAsia="Muli" w:hAnsi="Muli" w:cs="Muli"/>
                <w:color w:val="000000"/>
                <w:sz w:val="20"/>
                <w:szCs w:val="20"/>
              </w:rPr>
            </w:pPr>
            <w:r>
              <w:rPr>
                <w:rFonts w:ascii="Muli" w:eastAsia="Muli" w:hAnsi="Muli" w:cs="Muli"/>
                <w:color w:val="000000"/>
                <w:sz w:val="20"/>
                <w:szCs w:val="20"/>
              </w:rPr>
              <w:t>Materials provide some support for understanding unit coherence and helping studen</w:t>
            </w:r>
            <w:r>
              <w:rPr>
                <w:rFonts w:ascii="Muli" w:eastAsia="Muli" w:hAnsi="Muli" w:cs="Muli"/>
                <w:color w:val="000000"/>
                <w:sz w:val="20"/>
                <w:szCs w:val="20"/>
              </w:rPr>
              <w:t>ts link experiences to learning across all three dimensions and to phenomena or problems.</w:t>
            </w:r>
          </w:p>
        </w:tc>
        <w:tc>
          <w:tcPr>
            <w:tcW w:w="2255" w:type="dxa"/>
            <w:tcBorders>
              <w:top w:val="single" w:sz="4" w:space="0" w:color="000000"/>
            </w:tcBorders>
            <w:tcMar>
              <w:top w:w="99" w:type="dxa"/>
              <w:left w:w="99" w:type="dxa"/>
              <w:bottom w:w="99" w:type="dxa"/>
              <w:right w:w="99" w:type="dxa"/>
            </w:tcMar>
          </w:tcPr>
          <w:p w14:paraId="23CA0F49" w14:textId="77777777" w:rsidR="002B129E" w:rsidRDefault="009D7423">
            <w:pPr>
              <w:pStyle w:val="normal0"/>
              <w:pBdr>
                <w:top w:val="nil"/>
                <w:left w:val="nil"/>
                <w:bottom w:val="nil"/>
                <w:right w:val="nil"/>
                <w:between w:val="nil"/>
              </w:pBdr>
              <w:spacing w:before="165"/>
              <w:ind w:right="105"/>
              <w:rPr>
                <w:rFonts w:ascii="Muli" w:eastAsia="Muli" w:hAnsi="Muli" w:cs="Muli"/>
                <w:color w:val="000000"/>
                <w:sz w:val="20"/>
                <w:szCs w:val="20"/>
              </w:rPr>
            </w:pPr>
            <w:r>
              <w:rPr>
                <w:rFonts w:ascii="Muli" w:eastAsia="Muli" w:hAnsi="Muli" w:cs="Muli"/>
                <w:color w:val="000000"/>
                <w:sz w:val="20"/>
                <w:szCs w:val="20"/>
              </w:rPr>
              <w:t>Materials provide little support for understanding unit coherence and helping students link experiences to learning across all three dimensions and to phenomena or pr</w:t>
            </w:r>
            <w:r>
              <w:rPr>
                <w:rFonts w:ascii="Muli" w:eastAsia="Muli" w:hAnsi="Muli" w:cs="Muli"/>
                <w:color w:val="000000"/>
                <w:sz w:val="20"/>
                <w:szCs w:val="20"/>
              </w:rPr>
              <w:t>oblems.</w:t>
            </w:r>
          </w:p>
        </w:tc>
      </w:tr>
      <w:tr w:rsidR="002B129E" w14:paraId="067C63FE" w14:textId="77777777">
        <w:trPr>
          <w:trHeight w:val="2020"/>
        </w:trPr>
        <w:tc>
          <w:tcPr>
            <w:tcW w:w="7470" w:type="dxa"/>
            <w:tcMar>
              <w:top w:w="99" w:type="dxa"/>
              <w:left w:w="99" w:type="dxa"/>
              <w:bottom w:w="99" w:type="dxa"/>
              <w:right w:w="99" w:type="dxa"/>
            </w:tcMar>
          </w:tcPr>
          <w:p w14:paraId="71824EF4" w14:textId="77777777" w:rsidR="002B129E" w:rsidRDefault="009D7423">
            <w:pPr>
              <w:pStyle w:val="normal0"/>
              <w:pBdr>
                <w:top w:val="nil"/>
                <w:left w:val="nil"/>
                <w:bottom w:val="nil"/>
                <w:right w:val="nil"/>
                <w:between w:val="nil"/>
              </w:pBdr>
              <w:spacing w:before="44"/>
              <w:ind w:right="253"/>
              <w:rPr>
                <w:rFonts w:ascii="Muli" w:eastAsia="Muli" w:hAnsi="Muli" w:cs="Muli"/>
                <w:color w:val="000000"/>
                <w:sz w:val="20"/>
                <w:szCs w:val="20"/>
              </w:rPr>
            </w:pPr>
            <w:r>
              <w:rPr>
                <w:rFonts w:ascii="Muli" w:eastAsia="Muli" w:hAnsi="Muli" w:cs="Muli"/>
                <w:b/>
                <w:color w:val="000000"/>
                <w:sz w:val="20"/>
                <w:szCs w:val="20"/>
              </w:rPr>
              <w:lastRenderedPageBreak/>
              <w:t xml:space="preserve">TS3. Effective Teaching. </w:t>
            </w:r>
            <w:r>
              <w:rPr>
                <w:rFonts w:ascii="Muli" w:eastAsia="Muli" w:hAnsi="Muli" w:cs="Muli"/>
                <w:color w:val="000000"/>
                <w:sz w:val="20"/>
                <w:szCs w:val="20"/>
              </w:rPr>
              <w:t>Teacher materials support the use of and provide a rationale and evidence of effectiveness for strategies that:</w:t>
            </w:r>
          </w:p>
          <w:p w14:paraId="2F1BE74B" w14:textId="77777777" w:rsidR="002B129E" w:rsidRDefault="009D7423">
            <w:pPr>
              <w:pStyle w:val="normal0"/>
              <w:numPr>
                <w:ilvl w:val="0"/>
                <w:numId w:val="14"/>
              </w:numPr>
              <w:pBdr>
                <w:top w:val="nil"/>
                <w:left w:val="nil"/>
                <w:bottom w:val="nil"/>
                <w:right w:val="nil"/>
                <w:between w:val="nil"/>
              </w:pBdr>
              <w:tabs>
                <w:tab w:val="left" w:pos="460"/>
                <w:tab w:val="left" w:pos="461"/>
              </w:tabs>
              <w:spacing w:before="1"/>
              <w:ind w:right="477"/>
              <w:rPr>
                <w:rFonts w:ascii="Muli" w:eastAsia="Muli" w:hAnsi="Muli" w:cs="Muli"/>
                <w:color w:val="000000"/>
              </w:rPr>
            </w:pPr>
            <w:r>
              <w:rPr>
                <w:rFonts w:ascii="Muli" w:eastAsia="Muli" w:hAnsi="Muli" w:cs="Muli"/>
                <w:color w:val="000000"/>
                <w:sz w:val="20"/>
                <w:szCs w:val="20"/>
              </w:rPr>
              <w:t>support students in learning through authentic and meaningful phenomena or design problems.</w:t>
            </w:r>
          </w:p>
          <w:p w14:paraId="5C84FD70" w14:textId="77777777" w:rsidR="002B129E" w:rsidRDefault="009D7423">
            <w:pPr>
              <w:pStyle w:val="normal0"/>
              <w:numPr>
                <w:ilvl w:val="0"/>
                <w:numId w:val="14"/>
              </w:numPr>
              <w:pBdr>
                <w:top w:val="nil"/>
                <w:left w:val="nil"/>
                <w:bottom w:val="nil"/>
                <w:right w:val="nil"/>
                <w:between w:val="nil"/>
              </w:pBdr>
              <w:tabs>
                <w:tab w:val="left" w:pos="460"/>
                <w:tab w:val="left" w:pos="461"/>
              </w:tabs>
              <w:spacing w:line="242" w:lineRule="auto"/>
              <w:rPr>
                <w:rFonts w:ascii="Muli" w:eastAsia="Muli" w:hAnsi="Muli" w:cs="Muli"/>
                <w:color w:val="000000"/>
              </w:rPr>
            </w:pPr>
            <w:r>
              <w:rPr>
                <w:rFonts w:ascii="Muli" w:eastAsia="Muli" w:hAnsi="Muli" w:cs="Muli"/>
                <w:color w:val="000000"/>
                <w:sz w:val="20"/>
                <w:szCs w:val="20"/>
              </w:rPr>
              <w:t>support student learning across the three dimensions.</w:t>
            </w:r>
          </w:p>
          <w:p w14:paraId="74FB9FAE" w14:textId="77777777" w:rsidR="002B129E" w:rsidRDefault="009D7423">
            <w:pPr>
              <w:pStyle w:val="normal0"/>
              <w:numPr>
                <w:ilvl w:val="0"/>
                <w:numId w:val="14"/>
              </w:numPr>
              <w:pBdr>
                <w:top w:val="nil"/>
                <w:left w:val="nil"/>
                <w:bottom w:val="nil"/>
                <w:right w:val="nil"/>
                <w:between w:val="nil"/>
              </w:pBdr>
              <w:tabs>
                <w:tab w:val="left" w:pos="460"/>
                <w:tab w:val="left" w:pos="461"/>
              </w:tabs>
              <w:spacing w:before="1"/>
              <w:ind w:right="400"/>
              <w:rPr>
                <w:rFonts w:ascii="Muli" w:eastAsia="Muli" w:hAnsi="Muli" w:cs="Muli"/>
                <w:color w:val="000000"/>
              </w:rPr>
            </w:pPr>
            <w:r>
              <w:rPr>
                <w:rFonts w:ascii="Muli" w:eastAsia="Muli" w:hAnsi="Muli" w:cs="Muli"/>
                <w:color w:val="000000"/>
                <w:sz w:val="20"/>
                <w:szCs w:val="20"/>
              </w:rPr>
              <w:t>make student thinking visible; promote reasoning, sense-making, and problem- solving; challenge student thinking; and develop</w:t>
            </w:r>
            <w:r>
              <w:rPr>
                <w:rFonts w:ascii="Muli" w:eastAsia="Muli" w:hAnsi="Muli" w:cs="Muli"/>
                <w:sz w:val="20"/>
                <w:szCs w:val="20"/>
              </w:rPr>
              <w:t xml:space="preserve"> </w:t>
            </w:r>
            <w:r>
              <w:rPr>
                <w:rFonts w:ascii="Muli" w:eastAsia="Muli" w:hAnsi="Muli" w:cs="Muli"/>
                <w:color w:val="000000"/>
                <w:sz w:val="20"/>
                <w:szCs w:val="20"/>
              </w:rPr>
              <w:t>metacognitive abilities.</w:t>
            </w:r>
          </w:p>
          <w:p w14:paraId="7429C8EC" w14:textId="77777777" w:rsidR="002B129E" w:rsidRDefault="009D7423">
            <w:pPr>
              <w:pStyle w:val="normal0"/>
              <w:pBdr>
                <w:top w:val="nil"/>
                <w:left w:val="nil"/>
                <w:bottom w:val="nil"/>
                <w:right w:val="nil"/>
                <w:between w:val="nil"/>
              </w:pBdr>
              <w:spacing w:line="242" w:lineRule="auto"/>
              <w:rPr>
                <w:rFonts w:ascii="Muli" w:eastAsia="Muli" w:hAnsi="Muli" w:cs="Muli"/>
                <w:color w:val="000000"/>
                <w:sz w:val="20"/>
                <w:szCs w:val="20"/>
              </w:rPr>
            </w:pPr>
            <w:r>
              <w:rPr>
                <w:rFonts w:ascii="Muli" w:eastAsia="Muli" w:hAnsi="Muli" w:cs="Muli"/>
                <w:color w:val="000000"/>
                <w:sz w:val="20"/>
                <w:szCs w:val="20"/>
              </w:rPr>
              <w:t>Refer to SW1, SW2, SW3, SW4, SP3</w:t>
            </w:r>
          </w:p>
        </w:tc>
        <w:tc>
          <w:tcPr>
            <w:tcW w:w="2255" w:type="dxa"/>
            <w:tcMar>
              <w:top w:w="99" w:type="dxa"/>
              <w:left w:w="99" w:type="dxa"/>
              <w:bottom w:w="99" w:type="dxa"/>
              <w:right w:w="99" w:type="dxa"/>
            </w:tcMar>
          </w:tcPr>
          <w:p w14:paraId="020E098A" w14:textId="77777777" w:rsidR="002B129E" w:rsidRDefault="009D7423">
            <w:pPr>
              <w:pStyle w:val="normal0"/>
              <w:pBdr>
                <w:top w:val="nil"/>
                <w:left w:val="nil"/>
                <w:bottom w:val="nil"/>
                <w:right w:val="nil"/>
                <w:between w:val="nil"/>
              </w:pBdr>
              <w:spacing w:before="166"/>
              <w:ind w:right="151"/>
              <w:rPr>
                <w:rFonts w:ascii="Muli" w:eastAsia="Muli" w:hAnsi="Muli" w:cs="Muli"/>
                <w:color w:val="000000"/>
                <w:sz w:val="20"/>
                <w:szCs w:val="20"/>
              </w:rPr>
            </w:pPr>
            <w:r>
              <w:rPr>
                <w:rFonts w:ascii="Muli" w:eastAsia="Muli" w:hAnsi="Muli" w:cs="Muli"/>
                <w:color w:val="000000"/>
                <w:sz w:val="20"/>
                <w:szCs w:val="20"/>
              </w:rPr>
              <w:t>Materials provide rationale and robust support for implementing strategies that enhance student performances, thinking, and metacognition.</w:t>
            </w:r>
          </w:p>
        </w:tc>
        <w:tc>
          <w:tcPr>
            <w:tcW w:w="2255" w:type="dxa"/>
            <w:tcMar>
              <w:top w:w="99" w:type="dxa"/>
              <w:left w:w="99" w:type="dxa"/>
              <w:bottom w:w="99" w:type="dxa"/>
              <w:right w:w="99" w:type="dxa"/>
            </w:tcMar>
          </w:tcPr>
          <w:p w14:paraId="6F9093B9" w14:textId="77777777" w:rsidR="002B129E" w:rsidRDefault="009D7423">
            <w:pPr>
              <w:pStyle w:val="normal0"/>
              <w:pBdr>
                <w:top w:val="nil"/>
                <w:left w:val="nil"/>
                <w:bottom w:val="nil"/>
                <w:right w:val="nil"/>
                <w:between w:val="nil"/>
              </w:pBdr>
              <w:spacing w:before="1"/>
              <w:ind w:right="202"/>
              <w:rPr>
                <w:rFonts w:ascii="Muli" w:eastAsia="Muli" w:hAnsi="Muli" w:cs="Muli"/>
                <w:color w:val="000000"/>
                <w:sz w:val="20"/>
                <w:szCs w:val="20"/>
              </w:rPr>
            </w:pPr>
            <w:r>
              <w:rPr>
                <w:rFonts w:ascii="Muli" w:eastAsia="Muli" w:hAnsi="Muli" w:cs="Muli"/>
                <w:color w:val="000000"/>
                <w:sz w:val="20"/>
                <w:szCs w:val="20"/>
              </w:rPr>
              <w:t>Materials provide some rationale and support for implementing strategies that enhance student performances, thinking,</w:t>
            </w:r>
            <w:r>
              <w:rPr>
                <w:rFonts w:ascii="Muli" w:eastAsia="Muli" w:hAnsi="Muli" w:cs="Muli"/>
                <w:color w:val="000000"/>
                <w:sz w:val="20"/>
                <w:szCs w:val="20"/>
              </w:rPr>
              <w:t xml:space="preserve"> and metacognition.</w:t>
            </w:r>
          </w:p>
        </w:tc>
        <w:tc>
          <w:tcPr>
            <w:tcW w:w="2255" w:type="dxa"/>
            <w:tcMar>
              <w:top w:w="99" w:type="dxa"/>
              <w:left w:w="99" w:type="dxa"/>
              <w:bottom w:w="99" w:type="dxa"/>
              <w:right w:w="99" w:type="dxa"/>
            </w:tcMar>
          </w:tcPr>
          <w:p w14:paraId="188020F0" w14:textId="77777777" w:rsidR="002B129E" w:rsidRDefault="009D7423">
            <w:pPr>
              <w:pStyle w:val="normal0"/>
              <w:pBdr>
                <w:top w:val="nil"/>
                <w:left w:val="nil"/>
                <w:bottom w:val="nil"/>
                <w:right w:val="nil"/>
                <w:between w:val="nil"/>
              </w:pBdr>
              <w:spacing w:before="167"/>
              <w:ind w:right="201"/>
              <w:rPr>
                <w:rFonts w:ascii="Muli" w:eastAsia="Muli" w:hAnsi="Muli" w:cs="Muli"/>
                <w:color w:val="000000"/>
                <w:sz w:val="20"/>
                <w:szCs w:val="20"/>
              </w:rPr>
            </w:pPr>
            <w:r>
              <w:rPr>
                <w:rFonts w:ascii="Muli" w:eastAsia="Muli" w:hAnsi="Muli" w:cs="Muli"/>
                <w:color w:val="000000"/>
                <w:sz w:val="20"/>
                <w:szCs w:val="20"/>
              </w:rPr>
              <w:t>Materials provide little rationale and support for teachers to implement strategies that enhance student performances, thinking, and metacognition.</w:t>
            </w:r>
          </w:p>
        </w:tc>
      </w:tr>
      <w:tr w:rsidR="002B129E" w14:paraId="65F57450" w14:textId="77777777">
        <w:trPr>
          <w:trHeight w:val="1540"/>
        </w:trPr>
        <w:tc>
          <w:tcPr>
            <w:tcW w:w="7470" w:type="dxa"/>
            <w:tcMar>
              <w:top w:w="99" w:type="dxa"/>
              <w:left w:w="99" w:type="dxa"/>
              <w:bottom w:w="99" w:type="dxa"/>
              <w:right w:w="99" w:type="dxa"/>
            </w:tcMar>
          </w:tcPr>
          <w:p w14:paraId="6D14C1B7" w14:textId="77777777" w:rsidR="002B129E" w:rsidRDefault="009D7423">
            <w:pPr>
              <w:pStyle w:val="normal0"/>
              <w:pBdr>
                <w:top w:val="nil"/>
                <w:left w:val="nil"/>
                <w:bottom w:val="nil"/>
                <w:right w:val="nil"/>
                <w:between w:val="nil"/>
              </w:pBdr>
              <w:spacing w:before="44"/>
              <w:ind w:right="176"/>
              <w:rPr>
                <w:rFonts w:ascii="Muli" w:eastAsia="Muli" w:hAnsi="Muli" w:cs="Muli"/>
                <w:color w:val="000000"/>
                <w:sz w:val="20"/>
                <w:szCs w:val="20"/>
              </w:rPr>
            </w:pPr>
            <w:r>
              <w:rPr>
                <w:rFonts w:ascii="Muli" w:eastAsia="Muli" w:hAnsi="Muli" w:cs="Muli"/>
                <w:b/>
                <w:color w:val="000000"/>
                <w:sz w:val="20"/>
                <w:szCs w:val="20"/>
              </w:rPr>
              <w:t xml:space="preserve">TS4. Support for Students with Diverse Learning Needs. </w:t>
            </w:r>
            <w:r>
              <w:rPr>
                <w:rFonts w:ascii="Muli" w:eastAsia="Muli" w:hAnsi="Muli" w:cs="Muli"/>
                <w:color w:val="000000"/>
                <w:sz w:val="20"/>
                <w:szCs w:val="20"/>
              </w:rPr>
              <w:t>Teacher materials provide an array of strategies:</w:t>
            </w:r>
          </w:p>
          <w:p w14:paraId="50587D65" w14:textId="77777777" w:rsidR="002B129E" w:rsidRDefault="009D7423">
            <w:pPr>
              <w:pStyle w:val="normal0"/>
              <w:numPr>
                <w:ilvl w:val="0"/>
                <w:numId w:val="11"/>
              </w:numPr>
              <w:pBdr>
                <w:top w:val="nil"/>
                <w:left w:val="nil"/>
                <w:bottom w:val="nil"/>
                <w:right w:val="nil"/>
                <w:between w:val="nil"/>
              </w:pBdr>
              <w:tabs>
                <w:tab w:val="left" w:pos="460"/>
                <w:tab w:val="left" w:pos="461"/>
              </w:tabs>
              <w:ind w:right="829"/>
              <w:rPr>
                <w:rFonts w:ascii="Muli" w:eastAsia="Muli" w:hAnsi="Muli" w:cs="Muli"/>
                <w:color w:val="000000"/>
              </w:rPr>
            </w:pPr>
            <w:r>
              <w:rPr>
                <w:rFonts w:ascii="Muli" w:eastAsia="Muli" w:hAnsi="Muli" w:cs="Muli"/>
                <w:color w:val="000000"/>
                <w:sz w:val="20"/>
                <w:szCs w:val="20"/>
              </w:rPr>
              <w:t>to support student access to the targeted learning goals, experiences, and performances.</w:t>
            </w:r>
          </w:p>
          <w:p w14:paraId="6DCF6587" w14:textId="77777777" w:rsidR="002B129E" w:rsidRDefault="009D7423">
            <w:pPr>
              <w:pStyle w:val="normal0"/>
              <w:numPr>
                <w:ilvl w:val="0"/>
                <w:numId w:val="11"/>
              </w:numPr>
              <w:pBdr>
                <w:top w:val="nil"/>
                <w:left w:val="nil"/>
                <w:bottom w:val="nil"/>
                <w:right w:val="nil"/>
                <w:between w:val="nil"/>
              </w:pBdr>
              <w:tabs>
                <w:tab w:val="left" w:pos="460"/>
                <w:tab w:val="left" w:pos="461"/>
              </w:tabs>
              <w:ind w:right="829"/>
              <w:rPr>
                <w:rFonts w:ascii="Muli" w:eastAsia="Muli" w:hAnsi="Muli" w:cs="Muli"/>
                <w:color w:val="000000"/>
              </w:rPr>
            </w:pPr>
            <w:r>
              <w:rPr>
                <w:rFonts w:ascii="Muli" w:eastAsia="Muli" w:hAnsi="Muli" w:cs="Muli"/>
                <w:color w:val="000000"/>
                <w:sz w:val="20"/>
                <w:szCs w:val="20"/>
              </w:rPr>
              <w:t xml:space="preserve">that help teachers differentiate instruction. </w:t>
            </w:r>
          </w:p>
          <w:p w14:paraId="4876E414" w14:textId="77777777" w:rsidR="002B129E" w:rsidRDefault="009D7423">
            <w:pPr>
              <w:pStyle w:val="normal0"/>
              <w:pBdr>
                <w:top w:val="nil"/>
                <w:left w:val="nil"/>
                <w:bottom w:val="nil"/>
                <w:right w:val="nil"/>
                <w:between w:val="nil"/>
              </w:pBdr>
              <w:tabs>
                <w:tab w:val="left" w:pos="460"/>
                <w:tab w:val="left" w:pos="461"/>
              </w:tabs>
              <w:ind w:right="829"/>
              <w:rPr>
                <w:rFonts w:ascii="Muli" w:eastAsia="Muli" w:hAnsi="Muli" w:cs="Muli"/>
                <w:color w:val="000000"/>
                <w:sz w:val="20"/>
                <w:szCs w:val="20"/>
              </w:rPr>
            </w:pPr>
            <w:r>
              <w:rPr>
                <w:rFonts w:ascii="Muli" w:eastAsia="Muli" w:hAnsi="Muli" w:cs="Muli"/>
                <w:color w:val="000000"/>
                <w:sz w:val="20"/>
                <w:szCs w:val="20"/>
              </w:rPr>
              <w:t>Refer to SW5, SP4</w:t>
            </w:r>
          </w:p>
        </w:tc>
        <w:tc>
          <w:tcPr>
            <w:tcW w:w="2255" w:type="dxa"/>
            <w:tcMar>
              <w:top w:w="99" w:type="dxa"/>
              <w:left w:w="99" w:type="dxa"/>
              <w:bottom w:w="99" w:type="dxa"/>
              <w:right w:w="99" w:type="dxa"/>
            </w:tcMar>
          </w:tcPr>
          <w:p w14:paraId="1418ACCF" w14:textId="77777777" w:rsidR="002B129E" w:rsidRDefault="009D7423">
            <w:pPr>
              <w:pStyle w:val="normal0"/>
              <w:pBdr>
                <w:top w:val="nil"/>
                <w:left w:val="nil"/>
                <w:bottom w:val="nil"/>
                <w:right w:val="nil"/>
                <w:between w:val="nil"/>
              </w:pBdr>
              <w:spacing w:before="166"/>
              <w:ind w:right="243"/>
              <w:rPr>
                <w:rFonts w:ascii="Muli" w:eastAsia="Muli" w:hAnsi="Muli" w:cs="Muli"/>
                <w:color w:val="000000"/>
                <w:sz w:val="20"/>
                <w:szCs w:val="20"/>
              </w:rPr>
            </w:pPr>
            <w:r>
              <w:rPr>
                <w:rFonts w:ascii="Muli" w:eastAsia="Muli" w:hAnsi="Muli" w:cs="Muli"/>
                <w:color w:val="000000"/>
                <w:sz w:val="20"/>
                <w:szCs w:val="20"/>
              </w:rPr>
              <w:t>Materials include robust and comprehensive strategies for supporting learners with diverse needs.</w:t>
            </w:r>
          </w:p>
        </w:tc>
        <w:tc>
          <w:tcPr>
            <w:tcW w:w="2255" w:type="dxa"/>
            <w:tcMar>
              <w:top w:w="99" w:type="dxa"/>
              <w:left w:w="99" w:type="dxa"/>
              <w:bottom w:w="99" w:type="dxa"/>
              <w:right w:w="99" w:type="dxa"/>
            </w:tcMar>
          </w:tcPr>
          <w:p w14:paraId="11AA3700" w14:textId="77777777" w:rsidR="002B129E" w:rsidRDefault="009D7423">
            <w:pPr>
              <w:pStyle w:val="normal0"/>
              <w:pBdr>
                <w:top w:val="nil"/>
                <w:left w:val="nil"/>
                <w:bottom w:val="nil"/>
                <w:right w:val="nil"/>
                <w:between w:val="nil"/>
              </w:pBdr>
              <w:spacing w:before="1"/>
              <w:ind w:right="122"/>
              <w:rPr>
                <w:rFonts w:ascii="Muli" w:eastAsia="Muli" w:hAnsi="Muli" w:cs="Muli"/>
                <w:color w:val="000000"/>
                <w:sz w:val="20"/>
                <w:szCs w:val="20"/>
              </w:rPr>
            </w:pPr>
            <w:r>
              <w:rPr>
                <w:rFonts w:ascii="Muli" w:eastAsia="Muli" w:hAnsi="Muli" w:cs="Muli"/>
                <w:color w:val="000000"/>
                <w:sz w:val="20"/>
                <w:szCs w:val="20"/>
              </w:rPr>
              <w:t>Materials include some robust strategies for supporting learners with diverse needs.</w:t>
            </w:r>
          </w:p>
        </w:tc>
        <w:tc>
          <w:tcPr>
            <w:tcW w:w="2255" w:type="dxa"/>
            <w:tcMar>
              <w:top w:w="99" w:type="dxa"/>
              <w:left w:w="99" w:type="dxa"/>
              <w:bottom w:w="99" w:type="dxa"/>
              <w:right w:w="99" w:type="dxa"/>
            </w:tcMar>
          </w:tcPr>
          <w:p w14:paraId="4A0CBE83" w14:textId="77777777" w:rsidR="002B129E" w:rsidRDefault="009D7423">
            <w:pPr>
              <w:pStyle w:val="normal0"/>
              <w:pBdr>
                <w:top w:val="nil"/>
                <w:left w:val="nil"/>
                <w:bottom w:val="nil"/>
                <w:right w:val="nil"/>
                <w:between w:val="nil"/>
              </w:pBdr>
              <w:spacing w:before="1"/>
              <w:ind w:right="249"/>
              <w:rPr>
                <w:rFonts w:ascii="Muli" w:eastAsia="Muli" w:hAnsi="Muli" w:cs="Muli"/>
                <w:color w:val="000000"/>
                <w:sz w:val="20"/>
                <w:szCs w:val="20"/>
              </w:rPr>
            </w:pPr>
            <w:r>
              <w:rPr>
                <w:rFonts w:ascii="Muli" w:eastAsia="Muli" w:hAnsi="Muli" w:cs="Muli"/>
                <w:color w:val="000000"/>
                <w:sz w:val="20"/>
                <w:szCs w:val="20"/>
              </w:rPr>
              <w:t>Materials include few robust strategies for supporting learners with diverse needs.</w:t>
            </w:r>
          </w:p>
        </w:tc>
      </w:tr>
      <w:tr w:rsidR="002B129E" w14:paraId="63069B39" w14:textId="77777777">
        <w:trPr>
          <w:trHeight w:val="1060"/>
        </w:trPr>
        <w:tc>
          <w:tcPr>
            <w:tcW w:w="7470" w:type="dxa"/>
            <w:tcMar>
              <w:top w:w="99" w:type="dxa"/>
              <w:left w:w="99" w:type="dxa"/>
              <w:bottom w:w="99" w:type="dxa"/>
              <w:right w:w="99" w:type="dxa"/>
            </w:tcMar>
          </w:tcPr>
          <w:p w14:paraId="147C2145" w14:textId="77777777" w:rsidR="002B129E" w:rsidRDefault="009D7423">
            <w:pPr>
              <w:pStyle w:val="normal0"/>
              <w:pBdr>
                <w:top w:val="nil"/>
                <w:left w:val="nil"/>
                <w:bottom w:val="nil"/>
                <w:right w:val="nil"/>
                <w:between w:val="nil"/>
              </w:pBdr>
              <w:spacing w:before="44" w:line="242" w:lineRule="auto"/>
              <w:rPr>
                <w:rFonts w:ascii="Muli" w:eastAsia="Muli" w:hAnsi="Muli" w:cs="Muli"/>
                <w:color w:val="000000"/>
                <w:sz w:val="20"/>
                <w:szCs w:val="20"/>
              </w:rPr>
            </w:pPr>
            <w:r>
              <w:rPr>
                <w:rFonts w:ascii="Muli" w:eastAsia="Muli" w:hAnsi="Muli" w:cs="Muli"/>
                <w:b/>
                <w:color w:val="000000"/>
                <w:sz w:val="20"/>
                <w:szCs w:val="20"/>
              </w:rPr>
              <w:t xml:space="preserve">TS5. Support to Monitor Student Progress. </w:t>
            </w:r>
            <w:r>
              <w:rPr>
                <w:rFonts w:ascii="Muli" w:eastAsia="Muli" w:hAnsi="Muli" w:cs="Muli"/>
                <w:color w:val="000000"/>
                <w:sz w:val="20"/>
                <w:szCs w:val="20"/>
              </w:rPr>
              <w:t>Materials provide support for teachers to:</w:t>
            </w:r>
          </w:p>
          <w:p w14:paraId="7914FF5F" w14:textId="77777777" w:rsidR="002B129E" w:rsidRDefault="009D7423">
            <w:pPr>
              <w:pStyle w:val="normal0"/>
              <w:numPr>
                <w:ilvl w:val="0"/>
                <w:numId w:val="8"/>
              </w:numPr>
              <w:pBdr>
                <w:top w:val="nil"/>
                <w:left w:val="nil"/>
                <w:bottom w:val="nil"/>
                <w:right w:val="nil"/>
                <w:between w:val="nil"/>
              </w:pBdr>
              <w:tabs>
                <w:tab w:val="left" w:pos="460"/>
                <w:tab w:val="left" w:pos="461"/>
              </w:tabs>
              <w:spacing w:line="242" w:lineRule="auto"/>
              <w:ind w:firstLine="0"/>
              <w:rPr>
                <w:rFonts w:ascii="Muli" w:eastAsia="Muli" w:hAnsi="Muli" w:cs="Muli"/>
                <w:color w:val="000000"/>
              </w:rPr>
            </w:pPr>
            <w:r>
              <w:rPr>
                <w:rFonts w:ascii="Muli" w:eastAsia="Muli" w:hAnsi="Muli" w:cs="Muli"/>
                <w:color w:val="000000"/>
                <w:sz w:val="20"/>
                <w:szCs w:val="20"/>
              </w:rPr>
              <w:t>monitor student learning and progress over time.</w:t>
            </w:r>
          </w:p>
          <w:p w14:paraId="3595DF44" w14:textId="77777777" w:rsidR="002B129E" w:rsidRDefault="009D7423">
            <w:pPr>
              <w:pStyle w:val="normal0"/>
              <w:numPr>
                <w:ilvl w:val="0"/>
                <w:numId w:val="8"/>
              </w:numPr>
              <w:pBdr>
                <w:top w:val="nil"/>
                <w:left w:val="nil"/>
                <w:bottom w:val="nil"/>
                <w:right w:val="nil"/>
                <w:between w:val="nil"/>
              </w:pBdr>
              <w:tabs>
                <w:tab w:val="left" w:pos="460"/>
                <w:tab w:val="left" w:pos="461"/>
              </w:tabs>
              <w:spacing w:line="242" w:lineRule="auto"/>
              <w:ind w:firstLine="0"/>
              <w:rPr>
                <w:rFonts w:ascii="Muli" w:eastAsia="Muli" w:hAnsi="Muli" w:cs="Muli"/>
                <w:color w:val="000000"/>
              </w:rPr>
            </w:pPr>
            <w:r>
              <w:rPr>
                <w:rFonts w:ascii="Muli" w:eastAsia="Muli" w:hAnsi="Muli" w:cs="Muli"/>
                <w:color w:val="000000"/>
                <w:sz w:val="20"/>
                <w:szCs w:val="20"/>
              </w:rPr>
              <w:t>make decisions about instruction and provide feedback</w:t>
            </w:r>
            <w:r>
              <w:rPr>
                <w:rFonts w:ascii="Muli" w:eastAsia="Muli" w:hAnsi="Muli" w:cs="Muli"/>
                <w:sz w:val="20"/>
                <w:szCs w:val="20"/>
              </w:rPr>
              <w:t xml:space="preserve"> </w:t>
            </w:r>
            <w:r>
              <w:rPr>
                <w:rFonts w:ascii="Muli" w:eastAsia="Muli" w:hAnsi="Muli" w:cs="Muli"/>
                <w:color w:val="000000"/>
                <w:sz w:val="20"/>
                <w:szCs w:val="20"/>
              </w:rPr>
              <w:t xml:space="preserve">to students. </w:t>
            </w:r>
          </w:p>
          <w:p w14:paraId="51A30201" w14:textId="77777777" w:rsidR="002B129E" w:rsidRDefault="009D7423">
            <w:pPr>
              <w:pStyle w:val="normal0"/>
              <w:pBdr>
                <w:top w:val="nil"/>
                <w:left w:val="nil"/>
                <w:bottom w:val="nil"/>
                <w:right w:val="nil"/>
                <w:between w:val="nil"/>
              </w:pBdr>
              <w:tabs>
                <w:tab w:val="left" w:pos="460"/>
                <w:tab w:val="left" w:pos="461"/>
              </w:tabs>
              <w:spacing w:before="1"/>
              <w:ind w:right="1329"/>
              <w:rPr>
                <w:rFonts w:ascii="Muli" w:eastAsia="Muli" w:hAnsi="Muli" w:cs="Muli"/>
                <w:color w:val="000000"/>
                <w:sz w:val="20"/>
                <w:szCs w:val="20"/>
              </w:rPr>
            </w:pPr>
            <w:r>
              <w:rPr>
                <w:rFonts w:ascii="Muli" w:eastAsia="Muli" w:hAnsi="Muli" w:cs="Muli"/>
                <w:color w:val="000000"/>
                <w:sz w:val="20"/>
                <w:szCs w:val="20"/>
              </w:rPr>
              <w:t>Refer to SW3, SW4, SP1, SP2, SP3</w:t>
            </w:r>
          </w:p>
        </w:tc>
        <w:tc>
          <w:tcPr>
            <w:tcW w:w="2255" w:type="dxa"/>
            <w:tcMar>
              <w:top w:w="99" w:type="dxa"/>
              <w:left w:w="99" w:type="dxa"/>
              <w:bottom w:w="99" w:type="dxa"/>
              <w:right w:w="99" w:type="dxa"/>
            </w:tcMar>
          </w:tcPr>
          <w:p w14:paraId="7590B315" w14:textId="77777777" w:rsidR="002B129E" w:rsidRDefault="009D7423">
            <w:pPr>
              <w:pStyle w:val="normal0"/>
              <w:pBdr>
                <w:top w:val="nil"/>
                <w:left w:val="nil"/>
                <w:bottom w:val="nil"/>
                <w:right w:val="nil"/>
                <w:between w:val="nil"/>
              </w:pBdr>
              <w:spacing w:before="44"/>
              <w:ind w:right="176"/>
              <w:rPr>
                <w:rFonts w:ascii="Muli" w:eastAsia="Muli" w:hAnsi="Muli" w:cs="Muli"/>
                <w:color w:val="000000"/>
                <w:sz w:val="20"/>
                <w:szCs w:val="20"/>
              </w:rPr>
            </w:pPr>
            <w:r>
              <w:rPr>
                <w:rFonts w:ascii="Muli" w:eastAsia="Muli" w:hAnsi="Muli" w:cs="Muli"/>
                <w:color w:val="000000"/>
                <w:sz w:val="20"/>
                <w:szCs w:val="20"/>
              </w:rPr>
              <w:t>Materials provide robust support for interpreting and using data generated from assessments.</w:t>
            </w:r>
          </w:p>
        </w:tc>
        <w:tc>
          <w:tcPr>
            <w:tcW w:w="2255" w:type="dxa"/>
            <w:tcMar>
              <w:top w:w="99" w:type="dxa"/>
              <w:left w:w="99" w:type="dxa"/>
              <w:bottom w:w="99" w:type="dxa"/>
              <w:right w:w="99" w:type="dxa"/>
            </w:tcMar>
          </w:tcPr>
          <w:p w14:paraId="4B331AD9" w14:textId="77777777" w:rsidR="002B129E" w:rsidRDefault="009D7423">
            <w:pPr>
              <w:pStyle w:val="normal0"/>
              <w:pBdr>
                <w:top w:val="nil"/>
                <w:left w:val="nil"/>
                <w:bottom w:val="nil"/>
                <w:right w:val="nil"/>
                <w:between w:val="nil"/>
              </w:pBdr>
              <w:spacing w:before="44"/>
              <w:ind w:right="176"/>
              <w:rPr>
                <w:rFonts w:ascii="Muli" w:eastAsia="Muli" w:hAnsi="Muli" w:cs="Muli"/>
                <w:color w:val="000000"/>
                <w:sz w:val="20"/>
                <w:szCs w:val="20"/>
              </w:rPr>
            </w:pPr>
            <w:r>
              <w:rPr>
                <w:rFonts w:ascii="Muli" w:eastAsia="Muli" w:hAnsi="Muli" w:cs="Muli"/>
                <w:color w:val="000000"/>
                <w:sz w:val="20"/>
                <w:szCs w:val="20"/>
              </w:rPr>
              <w:t>Materials provide some support for interpreting and using data</w:t>
            </w:r>
            <w:r>
              <w:rPr>
                <w:rFonts w:ascii="Muli" w:eastAsia="Muli" w:hAnsi="Muli" w:cs="Muli"/>
                <w:color w:val="000000"/>
                <w:sz w:val="20"/>
                <w:szCs w:val="20"/>
              </w:rPr>
              <w:t xml:space="preserve"> generated from assessments.</w:t>
            </w:r>
          </w:p>
        </w:tc>
        <w:tc>
          <w:tcPr>
            <w:tcW w:w="2255" w:type="dxa"/>
            <w:tcMar>
              <w:top w:w="99" w:type="dxa"/>
              <w:left w:w="99" w:type="dxa"/>
              <w:bottom w:w="99" w:type="dxa"/>
              <w:right w:w="99" w:type="dxa"/>
            </w:tcMar>
          </w:tcPr>
          <w:p w14:paraId="0299D82B" w14:textId="77777777" w:rsidR="002B129E" w:rsidRDefault="009D7423">
            <w:pPr>
              <w:pStyle w:val="normal0"/>
              <w:pBdr>
                <w:top w:val="nil"/>
                <w:left w:val="nil"/>
                <w:bottom w:val="nil"/>
                <w:right w:val="nil"/>
                <w:between w:val="nil"/>
              </w:pBdr>
              <w:spacing w:before="44"/>
              <w:ind w:right="175"/>
              <w:rPr>
                <w:rFonts w:ascii="Muli" w:eastAsia="Muli" w:hAnsi="Muli" w:cs="Muli"/>
                <w:color w:val="000000"/>
                <w:sz w:val="20"/>
                <w:szCs w:val="20"/>
              </w:rPr>
            </w:pPr>
            <w:r>
              <w:rPr>
                <w:rFonts w:ascii="Muli" w:eastAsia="Muli" w:hAnsi="Muli" w:cs="Muli"/>
                <w:color w:val="000000"/>
                <w:sz w:val="20"/>
                <w:szCs w:val="20"/>
              </w:rPr>
              <w:t>Materials provide little support for interpreting and using data generated from assessments.</w:t>
            </w:r>
          </w:p>
        </w:tc>
      </w:tr>
    </w:tbl>
    <w:p w14:paraId="0F7DBCFE" w14:textId="77777777" w:rsidR="002B129E" w:rsidRDefault="002B129E">
      <w:pPr>
        <w:pStyle w:val="normal0"/>
        <w:pBdr>
          <w:top w:val="nil"/>
          <w:left w:val="nil"/>
          <w:bottom w:val="nil"/>
          <w:right w:val="nil"/>
          <w:between w:val="nil"/>
        </w:pBdr>
        <w:spacing w:line="276" w:lineRule="auto"/>
      </w:pPr>
    </w:p>
    <w:p w14:paraId="65C81A3D" w14:textId="77777777" w:rsidR="002B129E" w:rsidRDefault="002B129E">
      <w:pPr>
        <w:pStyle w:val="normal0"/>
        <w:pBdr>
          <w:top w:val="nil"/>
          <w:left w:val="nil"/>
          <w:bottom w:val="nil"/>
          <w:right w:val="nil"/>
          <w:between w:val="nil"/>
        </w:pBdr>
        <w:spacing w:line="276" w:lineRule="auto"/>
      </w:pPr>
    </w:p>
    <w:p w14:paraId="48A37851" w14:textId="77777777" w:rsidR="002B129E" w:rsidRDefault="002B129E">
      <w:pPr>
        <w:pStyle w:val="normal0"/>
        <w:pBdr>
          <w:top w:val="nil"/>
          <w:left w:val="nil"/>
          <w:bottom w:val="nil"/>
          <w:right w:val="nil"/>
          <w:between w:val="nil"/>
        </w:pBdr>
        <w:spacing w:line="276" w:lineRule="auto"/>
      </w:pPr>
    </w:p>
    <w:p w14:paraId="424B9351" w14:textId="77777777" w:rsidR="002B129E" w:rsidRDefault="002B129E">
      <w:pPr>
        <w:pStyle w:val="normal0"/>
        <w:pBdr>
          <w:top w:val="nil"/>
          <w:left w:val="nil"/>
          <w:bottom w:val="nil"/>
          <w:right w:val="nil"/>
          <w:between w:val="nil"/>
        </w:pBdr>
        <w:spacing w:line="276" w:lineRule="auto"/>
      </w:pPr>
    </w:p>
    <w:p w14:paraId="685F66BC" w14:textId="77777777" w:rsidR="002B129E" w:rsidRDefault="002B129E">
      <w:pPr>
        <w:pStyle w:val="normal0"/>
        <w:pBdr>
          <w:top w:val="nil"/>
          <w:left w:val="nil"/>
          <w:bottom w:val="nil"/>
          <w:right w:val="nil"/>
          <w:between w:val="nil"/>
        </w:pBdr>
        <w:spacing w:line="276" w:lineRule="auto"/>
      </w:pPr>
    </w:p>
    <w:p w14:paraId="2EF5321C" w14:textId="77777777" w:rsidR="002B129E" w:rsidRDefault="002B129E">
      <w:pPr>
        <w:pStyle w:val="normal0"/>
        <w:pBdr>
          <w:top w:val="nil"/>
          <w:left w:val="nil"/>
          <w:bottom w:val="nil"/>
          <w:right w:val="nil"/>
          <w:between w:val="nil"/>
        </w:pBdr>
        <w:spacing w:line="276" w:lineRule="auto"/>
      </w:pPr>
    </w:p>
    <w:p w14:paraId="0F9020A9" w14:textId="77777777" w:rsidR="002B129E" w:rsidRDefault="002B129E">
      <w:pPr>
        <w:pStyle w:val="normal0"/>
        <w:pBdr>
          <w:top w:val="nil"/>
          <w:left w:val="nil"/>
          <w:bottom w:val="nil"/>
          <w:right w:val="nil"/>
          <w:between w:val="nil"/>
        </w:pBdr>
        <w:spacing w:line="276" w:lineRule="auto"/>
      </w:pPr>
    </w:p>
    <w:p w14:paraId="2741A79F" w14:textId="77777777" w:rsidR="002B129E" w:rsidRDefault="002B129E">
      <w:pPr>
        <w:pStyle w:val="normal0"/>
        <w:pBdr>
          <w:top w:val="nil"/>
          <w:left w:val="nil"/>
          <w:bottom w:val="nil"/>
          <w:right w:val="nil"/>
          <w:between w:val="nil"/>
        </w:pBdr>
        <w:spacing w:line="276" w:lineRule="auto"/>
      </w:pPr>
    </w:p>
    <w:p w14:paraId="1CC84965" w14:textId="77777777" w:rsidR="002B129E" w:rsidRDefault="009D7423">
      <w:pPr>
        <w:pStyle w:val="normal0"/>
        <w:spacing w:before="147"/>
        <w:rPr>
          <w:rFonts w:ascii="Muli" w:eastAsia="Muli" w:hAnsi="Muli" w:cs="Muli"/>
          <w:b/>
          <w:color w:val="2F5496"/>
          <w:sz w:val="28"/>
          <w:szCs w:val="28"/>
        </w:rPr>
      </w:pPr>
      <w:bookmarkStart w:id="0" w:name="_GoBack"/>
      <w:bookmarkEnd w:id="0"/>
      <w:r>
        <w:rPr>
          <w:rFonts w:ascii="Muli" w:eastAsia="Muli" w:hAnsi="Muli" w:cs="Muli"/>
          <w:b/>
          <w:color w:val="FF126D"/>
          <w:sz w:val="28"/>
          <w:szCs w:val="28"/>
        </w:rPr>
        <w:lastRenderedPageBreak/>
        <w:t>Designed for NGSS: Teacher Support Rubric</w:t>
      </w:r>
    </w:p>
    <w:p w14:paraId="4AB457DF" w14:textId="77777777" w:rsidR="002B129E" w:rsidRDefault="009D7423">
      <w:pPr>
        <w:pStyle w:val="normal0"/>
        <w:spacing w:before="147"/>
        <w:rPr>
          <w:rFonts w:ascii="Muli" w:eastAsia="Muli" w:hAnsi="Muli" w:cs="Muli"/>
          <w:b/>
          <w:sz w:val="20"/>
          <w:szCs w:val="20"/>
        </w:rPr>
      </w:pPr>
      <w:r>
        <w:rPr>
          <w:rFonts w:ascii="Muli" w:eastAsia="Muli" w:hAnsi="Muli" w:cs="Muli"/>
          <w:b/>
          <w:sz w:val="20"/>
          <w:szCs w:val="20"/>
        </w:rPr>
        <w:t>Analyze Evidence</w:t>
      </w:r>
    </w:p>
    <w:p w14:paraId="039BD7FD" w14:textId="77777777" w:rsidR="002B129E" w:rsidRDefault="009D7423">
      <w:pPr>
        <w:pStyle w:val="normal0"/>
        <w:spacing w:before="147"/>
        <w:rPr>
          <w:rFonts w:ascii="Muli" w:eastAsia="Muli" w:hAnsi="Muli" w:cs="Muli"/>
          <w:sz w:val="28"/>
          <w:szCs w:val="28"/>
        </w:rPr>
      </w:pPr>
      <w:r>
        <w:rPr>
          <w:rFonts w:ascii="Muli" w:eastAsia="Muli" w:hAnsi="Muli" w:cs="Muli"/>
          <w:b/>
          <w:sz w:val="20"/>
          <w:szCs w:val="20"/>
        </w:rPr>
        <w:t>Directions:</w:t>
      </w:r>
    </w:p>
    <w:p w14:paraId="0CB9AD73" w14:textId="77777777" w:rsidR="002B129E" w:rsidRDefault="009D7423">
      <w:pPr>
        <w:pStyle w:val="normal0"/>
        <w:numPr>
          <w:ilvl w:val="0"/>
          <w:numId w:val="6"/>
        </w:numPr>
        <w:tabs>
          <w:tab w:val="left" w:pos="1393"/>
          <w:tab w:val="left" w:pos="1394"/>
        </w:tabs>
        <w:spacing w:before="157" w:line="242" w:lineRule="auto"/>
        <w:rPr>
          <w:rFonts w:ascii="Muli" w:eastAsia="Muli" w:hAnsi="Muli" w:cs="Muli"/>
        </w:rPr>
      </w:pPr>
      <w:r>
        <w:rPr>
          <w:rFonts w:ascii="Muli" w:eastAsia="Muli" w:hAnsi="Muli" w:cs="Muli"/>
          <w:sz w:val="20"/>
          <w:szCs w:val="20"/>
        </w:rPr>
        <w:t>Review the Designed for NGSS: Foundations Rubric.</w:t>
      </w:r>
    </w:p>
    <w:p w14:paraId="4A3FD285" w14:textId="77777777" w:rsidR="002B129E" w:rsidRDefault="009D7423">
      <w:pPr>
        <w:pStyle w:val="normal0"/>
        <w:numPr>
          <w:ilvl w:val="0"/>
          <w:numId w:val="6"/>
        </w:numPr>
        <w:tabs>
          <w:tab w:val="left" w:pos="1393"/>
          <w:tab w:val="left" w:pos="1394"/>
        </w:tabs>
        <w:spacing w:line="242" w:lineRule="auto"/>
        <w:rPr>
          <w:rFonts w:ascii="Muli" w:eastAsia="Muli" w:hAnsi="Muli" w:cs="Muli"/>
        </w:rPr>
      </w:pPr>
      <w:r>
        <w:rPr>
          <w:rFonts w:ascii="Muli" w:eastAsia="Muli" w:hAnsi="Muli" w:cs="Muli"/>
          <w:sz w:val="20"/>
          <w:szCs w:val="20"/>
        </w:rPr>
        <w:t>Reflect on the evidence (or lack of evidence) that you and your team gathered and represented.</w:t>
      </w:r>
    </w:p>
    <w:p w14:paraId="0D7C0592" w14:textId="77777777" w:rsidR="002B129E" w:rsidRDefault="009D7423">
      <w:pPr>
        <w:pStyle w:val="normal0"/>
        <w:numPr>
          <w:ilvl w:val="0"/>
          <w:numId w:val="6"/>
        </w:numPr>
        <w:tabs>
          <w:tab w:val="left" w:pos="1393"/>
          <w:tab w:val="left" w:pos="1394"/>
        </w:tabs>
        <w:spacing w:before="1"/>
        <w:rPr>
          <w:rFonts w:ascii="Muli" w:eastAsia="Muli" w:hAnsi="Muli" w:cs="Muli"/>
        </w:rPr>
      </w:pPr>
      <w:r>
        <w:rPr>
          <w:rFonts w:ascii="Muli" w:eastAsia="Muli" w:hAnsi="Muli" w:cs="Muli"/>
          <w:sz w:val="20"/>
          <w:szCs w:val="20"/>
        </w:rPr>
        <w:t>Record strengths and limitations for each criterion based on your evidence. Cite specific examples.</w:t>
      </w:r>
    </w:p>
    <w:p w14:paraId="69EE6FED" w14:textId="77777777" w:rsidR="002B129E" w:rsidRDefault="002B129E">
      <w:pPr>
        <w:pStyle w:val="normal0"/>
        <w:spacing w:before="11"/>
        <w:rPr>
          <w:rFonts w:ascii="Muli" w:eastAsia="Muli" w:hAnsi="Muli" w:cs="Muli"/>
          <w:sz w:val="20"/>
          <w:szCs w:val="20"/>
        </w:rPr>
      </w:pPr>
    </w:p>
    <w:tbl>
      <w:tblPr>
        <w:tblStyle w:val="a9"/>
        <w:tblW w:w="139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5"/>
        <w:gridCol w:w="4590"/>
      </w:tblGrid>
      <w:tr w:rsidR="002B129E" w14:paraId="34AC3451" w14:textId="77777777">
        <w:trPr>
          <w:trHeight w:val="500"/>
        </w:trPr>
        <w:tc>
          <w:tcPr>
            <w:tcW w:w="13965" w:type="dxa"/>
            <w:gridSpan w:val="2"/>
            <w:shd w:val="clear" w:color="auto" w:fill="FF126D"/>
          </w:tcPr>
          <w:p w14:paraId="7B48D8A5" w14:textId="77777777" w:rsidR="002B129E" w:rsidRDefault="009D7423">
            <w:pPr>
              <w:pStyle w:val="normal0"/>
              <w:spacing w:before="69"/>
              <w:ind w:left="180" w:right="2262"/>
              <w:rPr>
                <w:rFonts w:ascii="Muli" w:eastAsia="Muli" w:hAnsi="Muli" w:cs="Muli"/>
                <w:b/>
                <w:sz w:val="20"/>
                <w:szCs w:val="20"/>
              </w:rPr>
            </w:pPr>
            <w:r>
              <w:rPr>
                <w:rFonts w:ascii="Muli" w:eastAsia="Muli" w:hAnsi="Muli" w:cs="Muli"/>
                <w:b/>
                <w:color w:val="FFFFFF"/>
                <w:sz w:val="20"/>
                <w:szCs w:val="20"/>
              </w:rPr>
              <w:t>Strengths</w:t>
            </w:r>
          </w:p>
        </w:tc>
      </w:tr>
      <w:tr w:rsidR="002B129E" w14:paraId="72A23BC0" w14:textId="77777777">
        <w:trPr>
          <w:trHeight w:val="480"/>
        </w:trPr>
        <w:tc>
          <w:tcPr>
            <w:tcW w:w="13965" w:type="dxa"/>
            <w:gridSpan w:val="2"/>
            <w:shd w:val="clear" w:color="auto" w:fill="CCCCCC"/>
          </w:tcPr>
          <w:p w14:paraId="4D5FE35D" w14:textId="77777777" w:rsidR="002B129E" w:rsidRDefault="009D7423">
            <w:pPr>
              <w:pStyle w:val="normal0"/>
              <w:spacing w:before="44"/>
              <w:ind w:left="100" w:right="351"/>
              <w:rPr>
                <w:rFonts w:ascii="Muli" w:eastAsia="Muli" w:hAnsi="Muli" w:cs="Muli"/>
                <w:b/>
                <w:color w:val="FFFFFF"/>
                <w:sz w:val="20"/>
                <w:szCs w:val="20"/>
              </w:rPr>
            </w:pPr>
            <w:r>
              <w:rPr>
                <w:rFonts w:ascii="Muli" w:eastAsia="Muli" w:hAnsi="Muli" w:cs="Muli"/>
                <w:b/>
                <w:sz w:val="20"/>
                <w:szCs w:val="20"/>
              </w:rPr>
              <w:t>TS1. Phenomenon/Problem Driven Three-Dimensional Learning.</w:t>
            </w:r>
          </w:p>
        </w:tc>
      </w:tr>
      <w:tr w:rsidR="002B129E" w14:paraId="4358016B" w14:textId="77777777">
        <w:trPr>
          <w:trHeight w:val="900"/>
        </w:trPr>
        <w:tc>
          <w:tcPr>
            <w:tcW w:w="13965" w:type="dxa"/>
            <w:gridSpan w:val="2"/>
            <w:shd w:val="clear" w:color="auto" w:fill="F3F3F3"/>
          </w:tcPr>
          <w:p w14:paraId="54DB3434" w14:textId="77777777" w:rsidR="002B129E" w:rsidRDefault="009D7423">
            <w:pPr>
              <w:pStyle w:val="normal0"/>
              <w:spacing w:before="42"/>
              <w:ind w:left="100"/>
              <w:rPr>
                <w:rFonts w:ascii="Muli" w:eastAsia="Muli" w:hAnsi="Muli" w:cs="Muli"/>
                <w:b/>
                <w:sz w:val="20"/>
                <w:szCs w:val="20"/>
              </w:rPr>
            </w:pPr>
            <w:r>
              <w:rPr>
                <w:rFonts w:ascii="Muli" w:eastAsia="Muli" w:hAnsi="Muli" w:cs="Muli"/>
                <w:b/>
                <w:color w:val="2F5496"/>
                <w:sz w:val="20"/>
                <w:szCs w:val="20"/>
              </w:rPr>
              <w:t>The Module materials are High Quality 5 in regards to TS1.</w:t>
            </w:r>
          </w:p>
          <w:p w14:paraId="786E87AD" w14:textId="77777777" w:rsidR="002B129E" w:rsidRDefault="009D7423">
            <w:pPr>
              <w:pStyle w:val="normal0"/>
              <w:spacing w:before="44"/>
              <w:ind w:left="100" w:right="122"/>
              <w:rPr>
                <w:rFonts w:ascii="Muli" w:eastAsia="Muli" w:hAnsi="Muli" w:cs="Muli"/>
                <w:b/>
                <w:color w:val="2F5496"/>
                <w:sz w:val="20"/>
                <w:szCs w:val="20"/>
              </w:rPr>
            </w:pPr>
            <w:r>
              <w:rPr>
                <w:rFonts w:ascii="Muli" w:eastAsia="Muli" w:hAnsi="Muli" w:cs="Muli"/>
                <w:sz w:val="20"/>
                <w:szCs w:val="20"/>
              </w:rPr>
              <w:t>They provide clear guidance to teachers on how students develop, use, and integrate the three dimensions to make sense of phenomena or design solutions to problems.</w:t>
            </w:r>
          </w:p>
        </w:tc>
      </w:tr>
      <w:tr w:rsidR="002B129E" w14:paraId="47DDD8BB" w14:textId="77777777" w:rsidTr="009D7423">
        <w:trPr>
          <w:trHeight w:val="5704"/>
        </w:trPr>
        <w:tc>
          <w:tcPr>
            <w:tcW w:w="13965" w:type="dxa"/>
            <w:gridSpan w:val="2"/>
            <w:shd w:val="clear" w:color="auto" w:fill="FFFFFF"/>
          </w:tcPr>
          <w:p w14:paraId="223B2C3B"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531C9C6A" w14:textId="77777777" w:rsidR="002B129E" w:rsidRDefault="009D7423">
            <w:pPr>
              <w:pStyle w:val="normal0"/>
              <w:rPr>
                <w:rFonts w:ascii="Muli" w:eastAsia="Muli" w:hAnsi="Muli" w:cs="Muli"/>
                <w:sz w:val="20"/>
                <w:szCs w:val="20"/>
              </w:rPr>
            </w:pPr>
            <w:r>
              <w:rPr>
                <w:rFonts w:ascii="Muli" w:eastAsia="Muli" w:hAnsi="Muli" w:cs="Muli"/>
                <w:sz w:val="20"/>
                <w:szCs w:val="20"/>
              </w:rPr>
              <w:t xml:space="preserve">The flow of DCIs, SEPs and CCCs follow a logical sequence supporting students to </w:t>
            </w:r>
            <w:r>
              <w:rPr>
                <w:rFonts w:ascii="Muli" w:eastAsia="Muli" w:hAnsi="Muli" w:cs="Muli"/>
                <w:sz w:val="20"/>
                <w:szCs w:val="20"/>
              </w:rPr>
              <w:t>gain expertise of the practices and concepts they need to address the Module Phenomenon.</w:t>
            </w:r>
          </w:p>
          <w:p w14:paraId="0BA96534" w14:textId="77777777" w:rsidR="002B129E" w:rsidRDefault="002B129E">
            <w:pPr>
              <w:pStyle w:val="normal0"/>
              <w:ind w:left="90"/>
              <w:rPr>
                <w:rFonts w:ascii="Muli" w:eastAsia="Muli" w:hAnsi="Muli" w:cs="Muli"/>
                <w:sz w:val="20"/>
                <w:szCs w:val="20"/>
              </w:rPr>
            </w:pPr>
          </w:p>
          <w:p w14:paraId="7C9C356F" w14:textId="77777777" w:rsidR="002B129E" w:rsidRDefault="009D7423">
            <w:pPr>
              <w:pStyle w:val="normal0"/>
              <w:numPr>
                <w:ilvl w:val="0"/>
                <w:numId w:val="9"/>
              </w:numPr>
              <w:contextualSpacing/>
              <w:rPr>
                <w:b/>
                <w:sz w:val="20"/>
                <w:szCs w:val="20"/>
              </w:rPr>
            </w:pPr>
            <w:r>
              <w:rPr>
                <w:rFonts w:ascii="Muli" w:eastAsia="Muli" w:hAnsi="Muli" w:cs="Muli"/>
                <w:b/>
                <w:sz w:val="20"/>
                <w:szCs w:val="20"/>
              </w:rPr>
              <w:t xml:space="preserve">DQ1: How can we make an object move faster or move in a different direction? </w:t>
            </w:r>
            <w:r>
              <w:rPr>
                <w:rFonts w:ascii="Muli" w:eastAsia="Muli" w:hAnsi="Muli" w:cs="Muli"/>
                <w:sz w:val="20"/>
                <w:szCs w:val="20"/>
              </w:rPr>
              <w:t>Students ask questions and define problems (SEP-1) relating to motion, and plan and carry</w:t>
            </w:r>
            <w:r>
              <w:rPr>
                <w:rFonts w:ascii="Muli" w:eastAsia="Muli" w:hAnsi="Muli" w:cs="Muli"/>
                <w:sz w:val="20"/>
                <w:szCs w:val="20"/>
              </w:rPr>
              <w:t xml:space="preserve"> out investigations into forces and motion (SEP-3, PS2.A, PS3.C). They analyze and interpret images and investigation results (SEP-4), and identify cause and effect in their results and in texts (CCC-2). They demonstrate their new understandings of pushes </w:t>
            </w:r>
            <w:r>
              <w:rPr>
                <w:rFonts w:ascii="Muli" w:eastAsia="Muli" w:hAnsi="Muli" w:cs="Muli"/>
                <w:sz w:val="20"/>
                <w:szCs w:val="20"/>
              </w:rPr>
              <w:t>and pulls by writing a short narrative or informational text (SEP-8).</w:t>
            </w:r>
          </w:p>
          <w:p w14:paraId="0FBAD059" w14:textId="77777777" w:rsidR="002B129E" w:rsidRDefault="009D7423">
            <w:pPr>
              <w:pStyle w:val="normal0"/>
              <w:numPr>
                <w:ilvl w:val="0"/>
                <w:numId w:val="9"/>
              </w:numPr>
              <w:contextualSpacing/>
              <w:rPr>
                <w:b/>
                <w:sz w:val="20"/>
                <w:szCs w:val="20"/>
              </w:rPr>
            </w:pPr>
            <w:r>
              <w:rPr>
                <w:rFonts w:ascii="Muli" w:eastAsia="Muli" w:hAnsi="Muli" w:cs="Muli"/>
                <w:b/>
                <w:sz w:val="20"/>
                <w:szCs w:val="20"/>
              </w:rPr>
              <w:t xml:space="preserve">DQ2: How can we get marbles where we want them? </w:t>
            </w:r>
            <w:r>
              <w:rPr>
                <w:rFonts w:ascii="Muli" w:eastAsia="Muli" w:hAnsi="Muli" w:cs="Muli"/>
                <w:sz w:val="20"/>
                <w:szCs w:val="20"/>
              </w:rPr>
              <w:t>Students conduct a series of investigations into the problem of changing the speed or direction of an object (PS2.A, PS2.B, PS3.C, SEP-3).</w:t>
            </w:r>
            <w:r>
              <w:rPr>
                <w:rFonts w:ascii="Muli" w:eastAsia="Muli" w:hAnsi="Muli" w:cs="Muli"/>
                <w:sz w:val="20"/>
                <w:szCs w:val="20"/>
              </w:rPr>
              <w:t xml:space="preserve"> They analyze and interpret their data (SEP-4), relating their results to cause and effect (CCC-2), and use their investigation results to debate which approach was more effective (SEP-7). Finally, they use their learning from the Driving Question to write</w:t>
            </w:r>
            <w:r>
              <w:rPr>
                <w:rFonts w:ascii="Muli" w:eastAsia="Muli" w:hAnsi="Muli" w:cs="Muli"/>
                <w:sz w:val="20"/>
                <w:szCs w:val="20"/>
              </w:rPr>
              <w:t xml:space="preserve"> and draw how they can change the speed or direction of a marble (SEP-2, SEP-8).</w:t>
            </w:r>
          </w:p>
          <w:p w14:paraId="0CD7A4E7" w14:textId="77777777" w:rsidR="002B129E" w:rsidRDefault="009D7423">
            <w:pPr>
              <w:pStyle w:val="normal0"/>
              <w:numPr>
                <w:ilvl w:val="0"/>
                <w:numId w:val="9"/>
              </w:numPr>
              <w:contextualSpacing/>
              <w:rPr>
                <w:b/>
                <w:sz w:val="20"/>
                <w:szCs w:val="20"/>
              </w:rPr>
            </w:pPr>
            <w:r>
              <w:rPr>
                <w:rFonts w:ascii="Muli" w:eastAsia="Muli" w:hAnsi="Muli" w:cs="Muli"/>
                <w:b/>
                <w:sz w:val="20"/>
                <w:szCs w:val="20"/>
              </w:rPr>
              <w:t>DQ3: How do we understand and design a marble run?</w:t>
            </w:r>
            <w:r>
              <w:rPr>
                <w:rFonts w:ascii="Muli" w:eastAsia="Muli" w:hAnsi="Muli" w:cs="Muli"/>
                <w:sz w:val="20"/>
                <w:szCs w:val="20"/>
              </w:rPr>
              <w:t xml:space="preserve"> The module culminates in an Engineering Design Challenge. Students define and delimit an engineering problem (ETS1.A, SEP-1)</w:t>
            </w:r>
            <w:r>
              <w:rPr>
                <w:rFonts w:ascii="Muli" w:eastAsia="Muli" w:hAnsi="Muli" w:cs="Muli"/>
                <w:sz w:val="20"/>
                <w:szCs w:val="20"/>
              </w:rPr>
              <w:t xml:space="preserve"> and utilize their knowledge of forces and motion (PS2.A, PS2.B, PS3.C) to solve the problem. They develop and use models (SEP-2) as they design and build their marble runs. They present their marble runs and demonstrate their understanding of the Module P</w:t>
            </w:r>
            <w:r>
              <w:rPr>
                <w:rFonts w:ascii="Muli" w:eastAsia="Muli" w:hAnsi="Muli" w:cs="Muli"/>
                <w:sz w:val="20"/>
                <w:szCs w:val="20"/>
              </w:rPr>
              <w:t>henomenon (SEP-8).</w:t>
            </w:r>
          </w:p>
        </w:tc>
      </w:tr>
      <w:tr w:rsidR="002B129E" w14:paraId="684852A7" w14:textId="77777777">
        <w:trPr>
          <w:trHeight w:val="380"/>
        </w:trPr>
        <w:tc>
          <w:tcPr>
            <w:tcW w:w="13965" w:type="dxa"/>
            <w:gridSpan w:val="2"/>
            <w:shd w:val="clear" w:color="auto" w:fill="CCCCCC"/>
          </w:tcPr>
          <w:p w14:paraId="24D05B39" w14:textId="77777777" w:rsidR="002B129E" w:rsidRDefault="009D7423">
            <w:pPr>
              <w:pStyle w:val="normal0"/>
              <w:spacing w:before="42"/>
              <w:ind w:left="100"/>
              <w:rPr>
                <w:rFonts w:ascii="Muli" w:eastAsia="Muli" w:hAnsi="Muli" w:cs="Muli"/>
                <w:b/>
                <w:sz w:val="20"/>
                <w:szCs w:val="20"/>
              </w:rPr>
            </w:pPr>
            <w:r>
              <w:rPr>
                <w:rFonts w:ascii="Muli" w:eastAsia="Muli" w:hAnsi="Muli" w:cs="Muli"/>
                <w:b/>
                <w:sz w:val="20"/>
                <w:szCs w:val="20"/>
              </w:rPr>
              <w:lastRenderedPageBreak/>
              <w:t>TS2. Coherence.</w:t>
            </w:r>
          </w:p>
        </w:tc>
      </w:tr>
      <w:tr w:rsidR="002B129E" w14:paraId="1E635453" w14:textId="77777777">
        <w:trPr>
          <w:trHeight w:val="900"/>
        </w:trPr>
        <w:tc>
          <w:tcPr>
            <w:tcW w:w="13965" w:type="dxa"/>
            <w:gridSpan w:val="2"/>
            <w:shd w:val="clear" w:color="auto" w:fill="EFEFEF"/>
          </w:tcPr>
          <w:p w14:paraId="3997AC4E"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TS2.</w:t>
            </w:r>
          </w:p>
          <w:p w14:paraId="0ABA0BCC" w14:textId="77777777" w:rsidR="002B129E" w:rsidRDefault="009D7423">
            <w:pPr>
              <w:pStyle w:val="normal0"/>
              <w:spacing w:before="42"/>
              <w:ind w:left="100"/>
              <w:rPr>
                <w:rFonts w:ascii="Muli" w:eastAsia="Muli" w:hAnsi="Muli" w:cs="Muli"/>
                <w:b/>
                <w:sz w:val="20"/>
                <w:szCs w:val="20"/>
              </w:rPr>
            </w:pPr>
            <w:r>
              <w:rPr>
                <w:rFonts w:ascii="Muli" w:eastAsia="Muli" w:hAnsi="Muli" w:cs="Muli"/>
                <w:sz w:val="20"/>
                <w:szCs w:val="20"/>
              </w:rPr>
              <w:t>They provide teachers with a clear conceptual framework in a logical sequence, strategies for linking student experiences across lessons, and connections to other science domains, CNS (NoS), CETAS (ETS), math, and ELA.</w:t>
            </w:r>
          </w:p>
        </w:tc>
      </w:tr>
      <w:tr w:rsidR="002B129E" w14:paraId="5E1AF1A3" w14:textId="77777777">
        <w:trPr>
          <w:trHeight w:val="3240"/>
        </w:trPr>
        <w:tc>
          <w:tcPr>
            <w:tcW w:w="13965" w:type="dxa"/>
            <w:gridSpan w:val="2"/>
            <w:shd w:val="clear" w:color="auto" w:fill="FFFFFF"/>
            <w:tcMar>
              <w:top w:w="99" w:type="dxa"/>
              <w:left w:w="99" w:type="dxa"/>
              <w:bottom w:w="99" w:type="dxa"/>
              <w:right w:w="99" w:type="dxa"/>
            </w:tcMar>
          </w:tcPr>
          <w:p w14:paraId="63A6A501"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0B1501B1"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The Module Phenomenon challenges students to be creative problem solvers, immersing them in engaging challenges that require mastery of the three dimensions of NGSS to solve.</w:t>
            </w:r>
          </w:p>
          <w:p w14:paraId="3FEE8D1C"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The instructional materials have been designed to support the teacher to guide students on a scaffolded learning journey to solve the Module Phenomenon: What happens when we push, pull, and drop objects? How can we change their speed and direction? They ta</w:t>
            </w:r>
            <w:r>
              <w:rPr>
                <w:rFonts w:ascii="Muli" w:eastAsia="Muli" w:hAnsi="Muli" w:cs="Muli"/>
                <w:sz w:val="20"/>
                <w:szCs w:val="20"/>
              </w:rPr>
              <w:t>ckle the problem one Driving Question at a time, applying the three dimensions with increasing sophistication, building the skills and knowledge they need through a series of investigations.</w:t>
            </w:r>
          </w:p>
          <w:p w14:paraId="3DA852A6"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The Module Phenomenon targets the DCIs, SEPs, and CCCs explicitly</w:t>
            </w:r>
            <w:r>
              <w:rPr>
                <w:rFonts w:ascii="Muli" w:eastAsia="Muli" w:hAnsi="Muli" w:cs="Muli"/>
                <w:sz w:val="20"/>
                <w:szCs w:val="20"/>
              </w:rPr>
              <w:t xml:space="preserve"> stated in K-PS2-1, K-PS2-2, and K–2-ETS1-1. </w:t>
            </w:r>
          </w:p>
          <w:p w14:paraId="7D777E39"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A digital guide to SEPs and CCCs provides a clear explanation for each practice and concept with guidance on what these skills should look like in a Kindergarten classroom, with specific reference for how stude</w:t>
            </w:r>
            <w:r>
              <w:rPr>
                <w:rFonts w:ascii="Muli" w:eastAsia="Muli" w:hAnsi="Muli" w:cs="Muli"/>
                <w:sz w:val="20"/>
                <w:szCs w:val="20"/>
              </w:rPr>
              <w:t xml:space="preserve">nts ask questions and develop investigations in GK M2. </w:t>
            </w:r>
          </w:p>
          <w:p w14:paraId="6C323B54" w14:textId="77777777" w:rsidR="002B129E" w:rsidRDefault="009D7423">
            <w:pPr>
              <w:pStyle w:val="normal0"/>
              <w:numPr>
                <w:ilvl w:val="0"/>
                <w:numId w:val="3"/>
              </w:numPr>
              <w:ind w:right="90"/>
              <w:rPr>
                <w:rFonts w:ascii="Muli" w:eastAsia="Muli" w:hAnsi="Muli" w:cs="Muli"/>
                <w:sz w:val="20"/>
                <w:szCs w:val="20"/>
              </w:rPr>
            </w:pPr>
            <w:r>
              <w:rPr>
                <w:rFonts w:ascii="Muli" w:eastAsia="Muli" w:hAnsi="Muli" w:cs="Muli"/>
                <w:sz w:val="20"/>
                <w:szCs w:val="20"/>
              </w:rPr>
              <w:t>where students define a problem that they want to solve with their marble run, and then design, build, test, revise, and present their final marble runs.</w:t>
            </w:r>
          </w:p>
        </w:tc>
      </w:tr>
      <w:tr w:rsidR="002B129E" w14:paraId="23972644" w14:textId="77777777">
        <w:trPr>
          <w:trHeight w:val="3300"/>
        </w:trPr>
        <w:tc>
          <w:tcPr>
            <w:tcW w:w="9375" w:type="dxa"/>
            <w:shd w:val="clear" w:color="auto" w:fill="FFFFFF"/>
            <w:tcMar>
              <w:top w:w="99" w:type="dxa"/>
              <w:left w:w="99" w:type="dxa"/>
              <w:bottom w:w="99" w:type="dxa"/>
              <w:right w:w="99" w:type="dxa"/>
            </w:tcMar>
          </w:tcPr>
          <w:p w14:paraId="4AB4D840"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Additional module specific support is frequen</w:t>
            </w:r>
            <w:r>
              <w:rPr>
                <w:rFonts w:ascii="Muli" w:eastAsia="Muli" w:hAnsi="Muli" w:cs="Muli"/>
                <w:sz w:val="20"/>
                <w:szCs w:val="20"/>
              </w:rPr>
              <w:t xml:space="preserve">tly given at point of use in the instructional materials for all dimensions. For example, in DQ1L2, support is given on connecting the learning activity to SEP-5 Using Mathematics and Computational Thinking </w:t>
            </w:r>
            <w:r>
              <w:rPr>
                <w:rFonts w:ascii="Muli" w:eastAsia="Muli" w:hAnsi="Muli" w:cs="Muli"/>
                <w:b/>
                <w:color w:val="FF126D"/>
                <w:sz w:val="20"/>
                <w:szCs w:val="20"/>
              </w:rPr>
              <w:t>(DQ1L2 TE p. 18)</w:t>
            </w:r>
            <w:r>
              <w:rPr>
                <w:rFonts w:ascii="Muli" w:eastAsia="Muli" w:hAnsi="Muli" w:cs="Muli"/>
                <w:sz w:val="20"/>
                <w:szCs w:val="20"/>
              </w:rPr>
              <w:t>.</w:t>
            </w:r>
          </w:p>
          <w:p w14:paraId="16D8E785"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Opportunities to articulate, qu</w:t>
            </w:r>
            <w:r>
              <w:rPr>
                <w:rFonts w:ascii="Muli" w:eastAsia="Muli" w:hAnsi="Muli" w:cs="Muli"/>
                <w:sz w:val="20"/>
                <w:szCs w:val="20"/>
              </w:rPr>
              <w:t>estion, and revise students’ conceptual framework are woven into the instructional resources with teachers supported with continuous assessment for learning strategies and with support for how to tailor instruction accordingly.</w:t>
            </w:r>
          </w:p>
          <w:p w14:paraId="1A368BBF"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Assessments are well matched</w:t>
            </w:r>
            <w:r>
              <w:rPr>
                <w:rFonts w:ascii="Muli" w:eastAsia="Muli" w:hAnsi="Muli" w:cs="Muli"/>
                <w:sz w:val="20"/>
                <w:szCs w:val="20"/>
              </w:rPr>
              <w:t xml:space="preserve"> to the phenomena and dimensions being assessed. For example, in the Formative Assessment in DQ1L5, students write, draw, or verbalize to communicate information about what they have learned about forces and motion and cause-and-effect relationships.</w:t>
            </w:r>
          </w:p>
          <w:p w14:paraId="399BDB3B" w14:textId="77777777" w:rsidR="002B129E" w:rsidRDefault="002B129E">
            <w:pPr>
              <w:pStyle w:val="normal0"/>
              <w:ind w:right="90"/>
              <w:rPr>
                <w:rFonts w:ascii="Muli" w:eastAsia="Muli" w:hAnsi="Muli" w:cs="Muli"/>
                <w:b/>
                <w:sz w:val="20"/>
                <w:szCs w:val="20"/>
              </w:rPr>
            </w:pPr>
          </w:p>
        </w:tc>
        <w:tc>
          <w:tcPr>
            <w:tcW w:w="4590" w:type="dxa"/>
            <w:shd w:val="clear" w:color="auto" w:fill="FFFFFF"/>
            <w:tcMar>
              <w:top w:w="99" w:type="dxa"/>
              <w:left w:w="99" w:type="dxa"/>
              <w:bottom w:w="99" w:type="dxa"/>
              <w:right w:w="99" w:type="dxa"/>
            </w:tcMar>
          </w:tcPr>
          <w:p w14:paraId="2B362CCB" w14:textId="77777777" w:rsidR="002B129E" w:rsidRDefault="009D7423">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02ECDAC1" wp14:editId="5390C2AD">
                  <wp:extent cx="2710691" cy="1766888"/>
                  <wp:effectExtent l="12700" t="12700" r="12700" b="127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r="2755"/>
                          <a:stretch>
                            <a:fillRect/>
                          </a:stretch>
                        </pic:blipFill>
                        <pic:spPr>
                          <a:xfrm>
                            <a:off x="0" y="0"/>
                            <a:ext cx="2710691" cy="1766888"/>
                          </a:xfrm>
                          <a:prstGeom prst="rect">
                            <a:avLst/>
                          </a:prstGeom>
                          <a:ln w="12700">
                            <a:solidFill>
                              <a:srgbClr val="D9D9D9"/>
                            </a:solidFill>
                            <a:prstDash val="solid"/>
                          </a:ln>
                        </pic:spPr>
                      </pic:pic>
                    </a:graphicData>
                  </a:graphic>
                </wp:inline>
              </w:drawing>
            </w:r>
          </w:p>
          <w:p w14:paraId="586130BA" w14:textId="77777777" w:rsidR="002B129E" w:rsidRDefault="009D7423">
            <w:pPr>
              <w:pStyle w:val="normal0"/>
              <w:rPr>
                <w:rFonts w:ascii="Muli" w:eastAsia="Muli" w:hAnsi="Muli" w:cs="Muli"/>
                <w:b/>
                <w:color w:val="2F5496"/>
                <w:sz w:val="20"/>
                <w:szCs w:val="20"/>
              </w:rPr>
            </w:pPr>
            <w:r>
              <w:rPr>
                <w:rFonts w:ascii="Muli" w:eastAsia="Muli" w:hAnsi="Muli" w:cs="Muli"/>
                <w:b/>
                <w:color w:val="FF126D"/>
                <w:sz w:val="20"/>
                <w:szCs w:val="20"/>
              </w:rPr>
              <w:t>DQ</w:t>
            </w:r>
            <w:r>
              <w:rPr>
                <w:rFonts w:ascii="Muli" w:eastAsia="Muli" w:hAnsi="Muli" w:cs="Muli"/>
                <w:b/>
                <w:color w:val="FF126D"/>
                <w:sz w:val="20"/>
                <w:szCs w:val="20"/>
              </w:rPr>
              <w:t>1L2 TE p. 18</w:t>
            </w:r>
          </w:p>
        </w:tc>
      </w:tr>
      <w:tr w:rsidR="002B129E" w14:paraId="1ECDBC8B" w14:textId="77777777" w:rsidTr="009D7423">
        <w:trPr>
          <w:trHeight w:val="10104"/>
        </w:trPr>
        <w:tc>
          <w:tcPr>
            <w:tcW w:w="13965" w:type="dxa"/>
            <w:gridSpan w:val="2"/>
            <w:shd w:val="clear" w:color="auto" w:fill="FFFFFF"/>
            <w:tcMar>
              <w:top w:w="99" w:type="dxa"/>
              <w:left w:w="99" w:type="dxa"/>
              <w:bottom w:w="99" w:type="dxa"/>
              <w:right w:w="99" w:type="dxa"/>
            </w:tcMar>
          </w:tcPr>
          <w:p w14:paraId="78A3B83F"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lastRenderedPageBreak/>
              <w:t>Driving Question introductions and overview pages show the sequence of learning, the rationale behind it, and the three-dimensional aspect of the activities.</w:t>
            </w:r>
          </w:p>
          <w:p w14:paraId="3BE035E8"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 xml:space="preserve">Connections to other science domains are covered across the sequence of lessons and Driving Questions. </w:t>
            </w:r>
          </w:p>
          <w:p w14:paraId="2380EA36" w14:textId="77777777" w:rsidR="002B129E" w:rsidRDefault="009D7423">
            <w:pPr>
              <w:pStyle w:val="normal0"/>
              <w:numPr>
                <w:ilvl w:val="0"/>
                <w:numId w:val="28"/>
              </w:numPr>
              <w:rPr>
                <w:rFonts w:ascii="Muli" w:eastAsia="Muli" w:hAnsi="Muli" w:cs="Muli"/>
                <w:sz w:val="20"/>
                <w:szCs w:val="20"/>
              </w:rPr>
            </w:pPr>
            <w:r>
              <w:rPr>
                <w:rFonts w:ascii="Muli" w:eastAsia="Muli" w:hAnsi="Muli" w:cs="Muli"/>
                <w:sz w:val="20"/>
                <w:szCs w:val="20"/>
              </w:rPr>
              <w:t>Throughout the module, students use their class Science Tools poster to track their growing use of the SEPs. The poster is blank at the start of the yea</w:t>
            </w:r>
            <w:r>
              <w:rPr>
                <w:rFonts w:ascii="Muli" w:eastAsia="Muli" w:hAnsi="Muli" w:cs="Muli"/>
                <w:sz w:val="20"/>
                <w:szCs w:val="20"/>
              </w:rPr>
              <w:t>r, and the eight SEPs are added when each one is used for the first time. In this module, students add:</w:t>
            </w:r>
          </w:p>
          <w:p w14:paraId="23A5E6CC"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Ask questions (SEP-1)</w:t>
            </w:r>
          </w:p>
          <w:p w14:paraId="2E93D709"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 xml:space="preserve">Use math (SEP-5) </w:t>
            </w:r>
          </w:p>
          <w:p w14:paraId="78AD2D36"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 xml:space="preserve">Share ideas (SEP-8) </w:t>
            </w:r>
          </w:p>
          <w:p w14:paraId="26AC729F"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Make claims, and use evidence (SEP-7)</w:t>
            </w:r>
          </w:p>
          <w:p w14:paraId="40B5F6EF"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Plan investigations (SEP-3)</w:t>
            </w:r>
          </w:p>
          <w:p w14:paraId="1FCEF901" w14:textId="77777777" w:rsidR="002B129E" w:rsidRDefault="009D7423">
            <w:pPr>
              <w:pStyle w:val="normal0"/>
              <w:numPr>
                <w:ilvl w:val="0"/>
                <w:numId w:val="21"/>
              </w:numPr>
              <w:ind w:left="1440"/>
              <w:rPr>
                <w:rFonts w:ascii="Muli" w:eastAsia="Muli" w:hAnsi="Muli" w:cs="Muli"/>
                <w:sz w:val="20"/>
                <w:szCs w:val="20"/>
              </w:rPr>
            </w:pPr>
            <w:r>
              <w:rPr>
                <w:rFonts w:ascii="Muli" w:eastAsia="Muli" w:hAnsi="Muli" w:cs="Muli"/>
                <w:sz w:val="20"/>
                <w:szCs w:val="20"/>
              </w:rPr>
              <w:t>Design solutions (SEP-6)</w:t>
            </w:r>
          </w:p>
          <w:p w14:paraId="62336E75" w14:textId="77777777" w:rsidR="002B129E" w:rsidRDefault="009D7423">
            <w:pPr>
              <w:pStyle w:val="normal0"/>
              <w:ind w:left="720"/>
              <w:rPr>
                <w:rFonts w:ascii="Muli" w:eastAsia="Muli" w:hAnsi="Muli" w:cs="Muli"/>
                <w:sz w:val="20"/>
                <w:szCs w:val="20"/>
              </w:rPr>
            </w:pPr>
            <w:r>
              <w:rPr>
                <w:rFonts w:ascii="Muli" w:eastAsia="Muli" w:hAnsi="Muli" w:cs="Muli"/>
                <w:sz w:val="20"/>
                <w:szCs w:val="20"/>
              </w:rPr>
              <w:t>Students also revisit five previous additions to their Science Tools poster. This metacognitive activity grows students' awareness of which skills they are using.</w:t>
            </w:r>
          </w:p>
          <w:p w14:paraId="6A216933" w14:textId="77777777" w:rsidR="002B129E" w:rsidRDefault="009D7423">
            <w:pPr>
              <w:pStyle w:val="normal0"/>
              <w:numPr>
                <w:ilvl w:val="0"/>
                <w:numId w:val="3"/>
              </w:numPr>
              <w:ind w:right="90"/>
              <w:rPr>
                <w:rFonts w:ascii="Muli" w:eastAsia="Muli" w:hAnsi="Muli" w:cs="Muli"/>
                <w:sz w:val="20"/>
                <w:szCs w:val="20"/>
              </w:rPr>
            </w:pPr>
            <w:r>
              <w:rPr>
                <w:rFonts w:ascii="Muli" w:eastAsia="Muli" w:hAnsi="Muli" w:cs="Muli"/>
                <w:sz w:val="20"/>
                <w:szCs w:val="20"/>
              </w:rPr>
              <w:t xml:space="preserve">Engineering design is fully integrated into this module. Students are introduced to the role </w:t>
            </w:r>
            <w:r>
              <w:rPr>
                <w:rFonts w:ascii="Muli" w:eastAsia="Muli" w:hAnsi="Muli" w:cs="Muli"/>
                <w:sz w:val="20"/>
                <w:szCs w:val="20"/>
              </w:rPr>
              <w:t>of an engineer and the concept of design in DQ1L1.  The first several lessons of DQ3 involve students investigating available materials, designing, predicting, building, and testing various marble run designs. The Driving Question, and module, culminates i</w:t>
            </w:r>
            <w:r>
              <w:rPr>
                <w:rFonts w:ascii="Muli" w:eastAsia="Muli" w:hAnsi="Muli" w:cs="Muli"/>
                <w:sz w:val="20"/>
                <w:szCs w:val="20"/>
              </w:rPr>
              <w:t xml:space="preserve">n an Engineering Design Challenge, </w:t>
            </w:r>
          </w:p>
        </w:tc>
      </w:tr>
      <w:tr w:rsidR="002B129E" w14:paraId="4C7332F1" w14:textId="77777777">
        <w:trPr>
          <w:trHeight w:val="420"/>
        </w:trPr>
        <w:tc>
          <w:tcPr>
            <w:tcW w:w="13965" w:type="dxa"/>
            <w:gridSpan w:val="2"/>
            <w:shd w:val="clear" w:color="auto" w:fill="CCCCCC"/>
          </w:tcPr>
          <w:p w14:paraId="55C6F35E" w14:textId="77777777" w:rsidR="002B129E" w:rsidRDefault="009D7423">
            <w:pPr>
              <w:pStyle w:val="normal0"/>
              <w:spacing w:before="44"/>
              <w:ind w:left="100" w:right="253"/>
              <w:rPr>
                <w:rFonts w:ascii="Muli" w:eastAsia="Muli" w:hAnsi="Muli" w:cs="Muli"/>
                <w:b/>
                <w:sz w:val="20"/>
                <w:szCs w:val="20"/>
              </w:rPr>
            </w:pPr>
            <w:r>
              <w:rPr>
                <w:rFonts w:ascii="Muli" w:eastAsia="Muli" w:hAnsi="Muli" w:cs="Muli"/>
                <w:b/>
                <w:sz w:val="20"/>
                <w:szCs w:val="20"/>
              </w:rPr>
              <w:lastRenderedPageBreak/>
              <w:t>TS3. Effective Teaching.</w:t>
            </w:r>
          </w:p>
        </w:tc>
      </w:tr>
      <w:tr w:rsidR="002B129E" w14:paraId="53D10BAB" w14:textId="77777777">
        <w:trPr>
          <w:trHeight w:val="900"/>
        </w:trPr>
        <w:tc>
          <w:tcPr>
            <w:tcW w:w="13965" w:type="dxa"/>
            <w:gridSpan w:val="2"/>
            <w:shd w:val="clear" w:color="auto" w:fill="EFEFEF"/>
          </w:tcPr>
          <w:p w14:paraId="7A762090"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TS3.</w:t>
            </w:r>
          </w:p>
          <w:p w14:paraId="20CC2C6D"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guidance to support students in learning through authentic and meaningful phenomena/problems, support student learning across the three dimensions, and develop students’ metacognitive abilities.</w:t>
            </w:r>
          </w:p>
        </w:tc>
      </w:tr>
      <w:tr w:rsidR="002B129E" w14:paraId="749D4BC8" w14:textId="77777777" w:rsidTr="009D7423">
        <w:trPr>
          <w:trHeight w:val="8833"/>
        </w:trPr>
        <w:tc>
          <w:tcPr>
            <w:tcW w:w="9375" w:type="dxa"/>
            <w:shd w:val="clear" w:color="auto" w:fill="FFFFFF"/>
            <w:tcMar>
              <w:top w:w="99" w:type="dxa"/>
              <w:left w:w="99" w:type="dxa"/>
              <w:bottom w:w="99" w:type="dxa"/>
              <w:right w:w="99" w:type="dxa"/>
            </w:tcMar>
          </w:tcPr>
          <w:p w14:paraId="15B97032" w14:textId="77777777" w:rsidR="002B129E" w:rsidRDefault="009D7423">
            <w:pPr>
              <w:pStyle w:val="normal0"/>
              <w:spacing w:before="166"/>
              <w:ind w:right="151"/>
              <w:rPr>
                <w:rFonts w:ascii="Muli" w:eastAsia="Muli" w:hAnsi="Muli" w:cs="Muli"/>
                <w:b/>
                <w:sz w:val="20"/>
                <w:szCs w:val="20"/>
              </w:rPr>
            </w:pPr>
            <w:r>
              <w:rPr>
                <w:rFonts w:ascii="Muli" w:eastAsia="Muli" w:hAnsi="Muli" w:cs="Muli"/>
                <w:b/>
                <w:sz w:val="20"/>
                <w:szCs w:val="20"/>
              </w:rPr>
              <w:t>Evidence</w:t>
            </w:r>
          </w:p>
          <w:p w14:paraId="0611F62D" w14:textId="77777777" w:rsidR="002B129E" w:rsidRDefault="009D7423">
            <w:pPr>
              <w:pStyle w:val="normal0"/>
              <w:numPr>
                <w:ilvl w:val="0"/>
                <w:numId w:val="29"/>
              </w:numPr>
              <w:spacing w:before="166"/>
              <w:ind w:right="151"/>
              <w:contextualSpacing/>
              <w:rPr>
                <w:rFonts w:ascii="Muli" w:eastAsia="Muli" w:hAnsi="Muli" w:cs="Muli"/>
                <w:sz w:val="20"/>
                <w:szCs w:val="20"/>
              </w:rPr>
            </w:pPr>
            <w:r>
              <w:rPr>
                <w:rFonts w:ascii="Muli" w:eastAsia="Muli" w:hAnsi="Muli" w:cs="Muli"/>
                <w:sz w:val="20"/>
                <w:szCs w:val="20"/>
              </w:rPr>
              <w:t>Instructional materials support authentic and meaningful learning experiences. Teacher support includes scaffolded discussion questions in the Teacher Edition (with sample answers), notes, Lesson Preparation, background, Professional Learning videos, and t</w:t>
            </w:r>
            <w:r>
              <w:rPr>
                <w:rFonts w:ascii="Muli" w:eastAsia="Muli" w:hAnsi="Muli" w:cs="Muli"/>
                <w:sz w:val="20"/>
                <w:szCs w:val="20"/>
              </w:rPr>
              <w:t>he Progress Tracker.</w:t>
            </w:r>
          </w:p>
          <w:p w14:paraId="7A1DBED0" w14:textId="77777777" w:rsidR="002B129E" w:rsidRDefault="009D7423">
            <w:pPr>
              <w:pStyle w:val="normal0"/>
              <w:numPr>
                <w:ilvl w:val="0"/>
                <w:numId w:val="29"/>
              </w:numPr>
              <w:spacing w:before="166"/>
              <w:ind w:right="151"/>
              <w:contextualSpacing/>
              <w:rPr>
                <w:rFonts w:ascii="Muli" w:eastAsia="Muli" w:hAnsi="Muli" w:cs="Muli"/>
                <w:sz w:val="20"/>
                <w:szCs w:val="20"/>
              </w:rPr>
            </w:pPr>
            <w:r>
              <w:rPr>
                <w:rFonts w:ascii="Muli" w:eastAsia="Muli" w:hAnsi="Muli" w:cs="Muli"/>
                <w:sz w:val="20"/>
                <w:szCs w:val="20"/>
              </w:rPr>
              <w:t>3-D Learning Objectives in each lesson provide teachers with information of how students will learn across the three dimensions, while Lesson Preparation provides further information on how to support students’ learning.</w:t>
            </w:r>
          </w:p>
          <w:p w14:paraId="622E20AE" w14:textId="77777777" w:rsidR="002B129E" w:rsidRDefault="009D7423">
            <w:pPr>
              <w:pStyle w:val="normal0"/>
              <w:numPr>
                <w:ilvl w:val="0"/>
                <w:numId w:val="29"/>
              </w:numPr>
              <w:contextualSpacing/>
              <w:rPr>
                <w:rFonts w:ascii="Muli" w:eastAsia="Muli" w:hAnsi="Muli" w:cs="Muli"/>
                <w:sz w:val="20"/>
                <w:szCs w:val="20"/>
              </w:rPr>
            </w:pPr>
            <w:r>
              <w:rPr>
                <w:rFonts w:ascii="Muli" w:eastAsia="Muli" w:hAnsi="Muli" w:cs="Muli"/>
                <w:sz w:val="20"/>
                <w:szCs w:val="20"/>
              </w:rPr>
              <w:t>The teacher is</w:t>
            </w:r>
            <w:r>
              <w:rPr>
                <w:rFonts w:ascii="Muli" w:eastAsia="Muli" w:hAnsi="Muli" w:cs="Muli"/>
                <w:sz w:val="20"/>
                <w:szCs w:val="20"/>
              </w:rPr>
              <w:t xml:space="preserve"> supported in the instructional material to connect their learning experiences back to the Module Phenomenon at strategic points with discussions where students share their ideas and evidence for how to approach this problem. For example, in DQ1L2, student</w:t>
            </w:r>
            <w:r>
              <w:rPr>
                <w:rFonts w:ascii="Muli" w:eastAsia="Muli" w:hAnsi="Muli" w:cs="Muli"/>
                <w:sz w:val="20"/>
                <w:szCs w:val="20"/>
              </w:rPr>
              <w:t>s share ideas about what happens when they push or pull objects, answering the first part of the Module Phenomenon (</w:t>
            </w:r>
            <w:r>
              <w:rPr>
                <w:rFonts w:ascii="Muli" w:eastAsia="Muli" w:hAnsi="Muli" w:cs="Muli"/>
                <w:b/>
                <w:color w:val="FF126D"/>
                <w:sz w:val="20"/>
                <w:szCs w:val="20"/>
              </w:rPr>
              <w:t>DQ1L2 TE p. 18</w:t>
            </w:r>
            <w:r>
              <w:rPr>
                <w:rFonts w:ascii="Muli" w:eastAsia="Muli" w:hAnsi="Muli" w:cs="Muli"/>
                <w:sz w:val="20"/>
                <w:szCs w:val="20"/>
              </w:rPr>
              <w:t>).</w:t>
            </w:r>
          </w:p>
          <w:p w14:paraId="1EA89B70" w14:textId="77777777" w:rsidR="002B129E" w:rsidRDefault="009D7423">
            <w:pPr>
              <w:pStyle w:val="normal0"/>
              <w:numPr>
                <w:ilvl w:val="0"/>
                <w:numId w:val="29"/>
              </w:numPr>
              <w:spacing w:before="166"/>
              <w:ind w:right="151"/>
              <w:contextualSpacing/>
              <w:rPr>
                <w:rFonts w:ascii="Muli" w:eastAsia="Muli" w:hAnsi="Muli" w:cs="Muli"/>
                <w:sz w:val="20"/>
                <w:szCs w:val="20"/>
              </w:rPr>
            </w:pPr>
            <w:r>
              <w:rPr>
                <w:rFonts w:ascii="Muli" w:eastAsia="Muli" w:hAnsi="Muli" w:cs="Muli"/>
                <w:sz w:val="20"/>
                <w:szCs w:val="20"/>
              </w:rPr>
              <w:t>Teachers use a number of Language Routines, discussions, and metacognitive strategies to ensure that students are reflectin</w:t>
            </w:r>
            <w:r>
              <w:rPr>
                <w:rFonts w:ascii="Muli" w:eastAsia="Muli" w:hAnsi="Muli" w:cs="Muli"/>
                <w:sz w:val="20"/>
                <w:szCs w:val="20"/>
              </w:rPr>
              <w:t xml:space="preserve">g on what they are learning and how they are learning it. For example, students reflect on what they learned during a marble game and what useful information they could give someone who wanted to play the game (DQ2L2 TB p. 35), and guidance is provided to </w:t>
            </w:r>
            <w:r>
              <w:rPr>
                <w:rFonts w:ascii="Muli" w:eastAsia="Muli" w:hAnsi="Muli" w:cs="Muli"/>
                <w:sz w:val="20"/>
                <w:szCs w:val="20"/>
              </w:rPr>
              <w:t>help the teacher analyze the Change Direction visual for students, explicitly pointing out key aspects of the image and their significance (DQ1L6 TE p.45).</w:t>
            </w:r>
          </w:p>
        </w:tc>
        <w:tc>
          <w:tcPr>
            <w:tcW w:w="4590" w:type="dxa"/>
            <w:shd w:val="clear" w:color="auto" w:fill="FFFFFF"/>
            <w:tcMar>
              <w:top w:w="99" w:type="dxa"/>
              <w:left w:w="99" w:type="dxa"/>
              <w:bottom w:w="99" w:type="dxa"/>
              <w:right w:w="99" w:type="dxa"/>
            </w:tcMar>
          </w:tcPr>
          <w:p w14:paraId="455FE490" w14:textId="77777777" w:rsidR="002B129E" w:rsidRDefault="009D7423">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73895943" wp14:editId="77325E31">
                  <wp:extent cx="2718219" cy="1728788"/>
                  <wp:effectExtent l="12700" t="12700" r="12700" b="127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718219" cy="1728788"/>
                          </a:xfrm>
                          <a:prstGeom prst="rect">
                            <a:avLst/>
                          </a:prstGeom>
                          <a:ln w="12700">
                            <a:solidFill>
                              <a:srgbClr val="D9D9D9"/>
                            </a:solidFill>
                            <a:prstDash val="solid"/>
                          </a:ln>
                        </pic:spPr>
                      </pic:pic>
                    </a:graphicData>
                  </a:graphic>
                </wp:inline>
              </w:drawing>
            </w:r>
          </w:p>
          <w:p w14:paraId="0AD05017" w14:textId="77777777" w:rsidR="002B129E" w:rsidRDefault="009D7423">
            <w:pPr>
              <w:pStyle w:val="normal0"/>
              <w:rPr>
                <w:rFonts w:ascii="Muli" w:eastAsia="Muli" w:hAnsi="Muli" w:cs="Muli"/>
                <w:b/>
                <w:color w:val="2F5496"/>
                <w:sz w:val="20"/>
                <w:szCs w:val="20"/>
              </w:rPr>
            </w:pPr>
            <w:r>
              <w:rPr>
                <w:rFonts w:ascii="Muli" w:eastAsia="Muli" w:hAnsi="Muli" w:cs="Muli"/>
                <w:b/>
                <w:color w:val="FF126D"/>
                <w:sz w:val="20"/>
                <w:szCs w:val="20"/>
              </w:rPr>
              <w:t>DQ1L2 TE p. 18</w:t>
            </w:r>
          </w:p>
        </w:tc>
      </w:tr>
      <w:tr w:rsidR="002B129E" w14:paraId="7F844426" w14:textId="77777777">
        <w:trPr>
          <w:trHeight w:val="420"/>
        </w:trPr>
        <w:tc>
          <w:tcPr>
            <w:tcW w:w="13965" w:type="dxa"/>
            <w:gridSpan w:val="2"/>
            <w:shd w:val="clear" w:color="auto" w:fill="CCCCCC"/>
          </w:tcPr>
          <w:p w14:paraId="51713828" w14:textId="77777777" w:rsidR="002B129E" w:rsidRDefault="009D7423">
            <w:pPr>
              <w:pStyle w:val="normal0"/>
              <w:spacing w:before="44"/>
              <w:ind w:left="100" w:right="176"/>
              <w:rPr>
                <w:rFonts w:ascii="Muli" w:eastAsia="Muli" w:hAnsi="Muli" w:cs="Muli"/>
                <w:b/>
                <w:sz w:val="20"/>
                <w:szCs w:val="20"/>
              </w:rPr>
            </w:pPr>
            <w:r>
              <w:rPr>
                <w:rFonts w:ascii="Muli" w:eastAsia="Muli" w:hAnsi="Muli" w:cs="Muli"/>
                <w:b/>
                <w:sz w:val="20"/>
                <w:szCs w:val="20"/>
              </w:rPr>
              <w:lastRenderedPageBreak/>
              <w:t>TS4. Support for Students with Diverse Learning Needs.</w:t>
            </w:r>
          </w:p>
        </w:tc>
      </w:tr>
      <w:tr w:rsidR="002B129E" w14:paraId="5291DABA" w14:textId="77777777">
        <w:trPr>
          <w:trHeight w:val="620"/>
        </w:trPr>
        <w:tc>
          <w:tcPr>
            <w:tcW w:w="13965" w:type="dxa"/>
            <w:gridSpan w:val="2"/>
            <w:shd w:val="clear" w:color="auto" w:fill="EFEFEF"/>
          </w:tcPr>
          <w:p w14:paraId="10375C0B"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TS4.</w:t>
            </w:r>
          </w:p>
          <w:p w14:paraId="36D2DDC0"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sz w:val="20"/>
                <w:szCs w:val="20"/>
              </w:rPr>
              <w:t>They provide a strong array of strategies to support student access to the targeted learning goals and help teachers differentiate instruction.</w:t>
            </w:r>
          </w:p>
        </w:tc>
      </w:tr>
      <w:tr w:rsidR="002B129E" w14:paraId="55338991" w14:textId="77777777">
        <w:trPr>
          <w:trHeight w:val="900"/>
        </w:trPr>
        <w:tc>
          <w:tcPr>
            <w:tcW w:w="9375" w:type="dxa"/>
            <w:shd w:val="clear" w:color="auto" w:fill="FFFFFF"/>
            <w:tcMar>
              <w:top w:w="99" w:type="dxa"/>
              <w:left w:w="99" w:type="dxa"/>
              <w:bottom w:w="99" w:type="dxa"/>
              <w:right w:w="99" w:type="dxa"/>
            </w:tcMar>
          </w:tcPr>
          <w:p w14:paraId="4080F274" w14:textId="77777777" w:rsidR="002B129E" w:rsidRDefault="009D7423">
            <w:pPr>
              <w:pStyle w:val="normal0"/>
              <w:rPr>
                <w:rFonts w:ascii="Muli" w:eastAsia="Muli" w:hAnsi="Muli" w:cs="Muli"/>
                <w:b/>
                <w:sz w:val="20"/>
                <w:szCs w:val="20"/>
              </w:rPr>
            </w:pPr>
            <w:r>
              <w:rPr>
                <w:rFonts w:ascii="Muli" w:eastAsia="Muli" w:hAnsi="Muli" w:cs="Muli"/>
                <w:b/>
                <w:sz w:val="20"/>
                <w:szCs w:val="20"/>
              </w:rPr>
              <w:t>Evidence</w:t>
            </w:r>
          </w:p>
          <w:p w14:paraId="2DE220A9"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 xml:space="preserve">Integrated EL sidebars offer teachers guidance to support students’ engagement with the material (DQ1L1 TE p. 11, </w:t>
            </w:r>
            <w:r>
              <w:rPr>
                <w:rFonts w:ascii="Muli" w:eastAsia="Muli" w:hAnsi="Muli" w:cs="Muli"/>
                <w:b/>
                <w:color w:val="FF126D"/>
                <w:sz w:val="20"/>
                <w:szCs w:val="20"/>
              </w:rPr>
              <w:t>DQ1L2 TE p. 18</w:t>
            </w:r>
            <w:r>
              <w:rPr>
                <w:rFonts w:ascii="Muli" w:eastAsia="Muli" w:hAnsi="Muli" w:cs="Muli"/>
                <w:sz w:val="20"/>
                <w:szCs w:val="20"/>
              </w:rPr>
              <w:t>, DQ1L8 TE p. 59, DQ2L5 TE p. 110, DQ3L5 TE p. 161).</w:t>
            </w:r>
          </w:p>
          <w:p w14:paraId="570BC909"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Integrated Special Needs sidebars offer teachers guidance to support students of all abilities as they participation in class activities and grasp key concepts (DQ1L2 TE p. 17, DQ1L3 TE p. 27, DQ2L1 TE p. 88, DQ3L2 TE p. 142, DQ3L6 TE p. 166).</w:t>
            </w:r>
          </w:p>
          <w:p w14:paraId="7A2C4FB5"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Integrated C</w:t>
            </w:r>
            <w:r>
              <w:rPr>
                <w:rFonts w:ascii="Muli" w:eastAsia="Muli" w:hAnsi="Muli" w:cs="Muli"/>
                <w:sz w:val="20"/>
                <w:szCs w:val="20"/>
              </w:rPr>
              <w:t>ultural Connections sidebars offer support for how to make learning experiences relevant for students from all backgrounds (DQ2L1 TE p. 86, DQ2L5 TE p. 114, DQ3L6 TE p. 168).</w:t>
            </w:r>
          </w:p>
          <w:p w14:paraId="10FAD31C"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Integrated Challenges interspersed throughout the TB support GATE students who ha</w:t>
            </w:r>
            <w:r>
              <w:rPr>
                <w:rFonts w:ascii="Muli" w:eastAsia="Muli" w:hAnsi="Muli" w:cs="Muli"/>
                <w:sz w:val="20"/>
                <w:szCs w:val="20"/>
              </w:rPr>
              <w:t>ve met the learning goals (DQ1L1 TB p3, DQ1L8 TB p. 21, DQ2L3 TB p. 35, DQ2L5 TB p. 42, DQ3L4 TB p. 61).</w:t>
            </w:r>
          </w:p>
          <w:p w14:paraId="0181927F"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 xml:space="preserve">Videos like What Makes Things Move? (DQ1L3), Exploring Forces (DQ1L4), Gravity (DQ1L8), and Speed (DQ2L4) bring phenomena and concepts to life for all </w:t>
            </w:r>
            <w:r>
              <w:rPr>
                <w:rFonts w:ascii="Muli" w:eastAsia="Muli" w:hAnsi="Muli" w:cs="Muli"/>
                <w:sz w:val="20"/>
                <w:szCs w:val="20"/>
              </w:rPr>
              <w:t xml:space="preserve">students. </w:t>
            </w:r>
          </w:p>
          <w:p w14:paraId="62DDC3E3"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writing, drawing, physical models, and oral presentations, allowing all students to access a range of assessment types to suit their learning style and/or reading le</w:t>
            </w:r>
            <w:r>
              <w:rPr>
                <w:rFonts w:ascii="Muli" w:eastAsia="Muli" w:hAnsi="Muli" w:cs="Muli"/>
                <w:sz w:val="20"/>
                <w:szCs w:val="20"/>
              </w:rPr>
              <w:t>vel.</w:t>
            </w:r>
          </w:p>
          <w:p w14:paraId="70B0CCAE"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The digital TB and digital assessment items (Pre-Exploration) have a text to speech function allowing students of all reading levels to access the assessments.</w:t>
            </w:r>
          </w:p>
          <w:p w14:paraId="49A9261F" w14:textId="77777777" w:rsidR="002B129E" w:rsidRDefault="009D7423">
            <w:pPr>
              <w:pStyle w:val="normal0"/>
              <w:numPr>
                <w:ilvl w:val="0"/>
                <w:numId w:val="30"/>
              </w:numPr>
              <w:contextualSpacing/>
              <w:rPr>
                <w:rFonts w:ascii="Muli" w:eastAsia="Muli" w:hAnsi="Muli" w:cs="Muli"/>
                <w:sz w:val="20"/>
                <w:szCs w:val="20"/>
              </w:rPr>
            </w:pPr>
            <w:r>
              <w:rPr>
                <w:rFonts w:ascii="Muli" w:eastAsia="Muli" w:hAnsi="Muli" w:cs="Muli"/>
                <w:sz w:val="20"/>
                <w:szCs w:val="20"/>
              </w:rPr>
              <w:t>Writing, Reading, Listening, and Speaking domain tasks dedicated to monitoring science-rele</w:t>
            </w:r>
            <w:r>
              <w:rPr>
                <w:rFonts w:ascii="Muli" w:eastAsia="Muli" w:hAnsi="Muli" w:cs="Muli"/>
                <w:sz w:val="20"/>
                <w:szCs w:val="20"/>
              </w:rPr>
              <w:t>vant English language development are integrated into the core instructional resources (DQ1L9 TE p. 66) and the On-Level reader lessons (Chapter 3 Second Read TE p. 185).</w:t>
            </w:r>
          </w:p>
        </w:tc>
        <w:tc>
          <w:tcPr>
            <w:tcW w:w="4590" w:type="dxa"/>
            <w:shd w:val="clear" w:color="auto" w:fill="FFFFFF"/>
            <w:tcMar>
              <w:top w:w="99" w:type="dxa"/>
              <w:left w:w="99" w:type="dxa"/>
              <w:bottom w:w="99" w:type="dxa"/>
              <w:right w:w="99" w:type="dxa"/>
            </w:tcMar>
          </w:tcPr>
          <w:p w14:paraId="7928574A" w14:textId="77777777" w:rsidR="002B129E" w:rsidRDefault="009D7423">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62546B92" wp14:editId="5BAF9DEC">
                  <wp:extent cx="1687512" cy="314374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687512" cy="3143742"/>
                          </a:xfrm>
                          <a:prstGeom prst="rect">
                            <a:avLst/>
                          </a:prstGeom>
                          <a:ln/>
                        </pic:spPr>
                      </pic:pic>
                    </a:graphicData>
                  </a:graphic>
                </wp:inline>
              </w:drawing>
            </w:r>
          </w:p>
          <w:p w14:paraId="1BA99E88" w14:textId="77777777" w:rsidR="002B129E" w:rsidRDefault="009D7423">
            <w:pPr>
              <w:pStyle w:val="normal0"/>
              <w:rPr>
                <w:rFonts w:ascii="Muli" w:eastAsia="Muli" w:hAnsi="Muli" w:cs="Muli"/>
                <w:b/>
                <w:color w:val="2F5496"/>
                <w:sz w:val="20"/>
                <w:szCs w:val="20"/>
              </w:rPr>
            </w:pPr>
            <w:r>
              <w:rPr>
                <w:rFonts w:ascii="Muli" w:eastAsia="Muli" w:hAnsi="Muli" w:cs="Muli"/>
                <w:b/>
                <w:color w:val="FF126D"/>
                <w:sz w:val="20"/>
                <w:szCs w:val="20"/>
              </w:rPr>
              <w:t>DQ1L2 TE p. 18</w:t>
            </w:r>
          </w:p>
        </w:tc>
      </w:tr>
      <w:tr w:rsidR="002B129E" w14:paraId="437FF4E4" w14:textId="77777777">
        <w:trPr>
          <w:trHeight w:val="460"/>
        </w:trPr>
        <w:tc>
          <w:tcPr>
            <w:tcW w:w="13965" w:type="dxa"/>
            <w:gridSpan w:val="2"/>
            <w:shd w:val="clear" w:color="auto" w:fill="CCCCCC"/>
          </w:tcPr>
          <w:p w14:paraId="3531686D" w14:textId="77777777" w:rsidR="002B129E" w:rsidRDefault="009D7423">
            <w:pPr>
              <w:pStyle w:val="normal0"/>
              <w:spacing w:before="44" w:line="242" w:lineRule="auto"/>
              <w:ind w:left="100"/>
              <w:rPr>
                <w:rFonts w:ascii="Muli" w:eastAsia="Muli" w:hAnsi="Muli" w:cs="Muli"/>
                <w:b/>
                <w:sz w:val="20"/>
                <w:szCs w:val="20"/>
              </w:rPr>
            </w:pPr>
            <w:r>
              <w:rPr>
                <w:rFonts w:ascii="Muli" w:eastAsia="Muli" w:hAnsi="Muli" w:cs="Muli"/>
                <w:b/>
                <w:sz w:val="20"/>
                <w:szCs w:val="20"/>
              </w:rPr>
              <w:t>TS5. Support to Monitor Student Progress.</w:t>
            </w:r>
          </w:p>
        </w:tc>
      </w:tr>
      <w:tr w:rsidR="002B129E" w14:paraId="6229E9E4" w14:textId="77777777">
        <w:trPr>
          <w:trHeight w:val="720"/>
        </w:trPr>
        <w:tc>
          <w:tcPr>
            <w:tcW w:w="13965" w:type="dxa"/>
            <w:gridSpan w:val="2"/>
            <w:shd w:val="clear" w:color="auto" w:fill="EFEFEF"/>
          </w:tcPr>
          <w:p w14:paraId="1EE299C2"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TS5.</w:t>
            </w:r>
          </w:p>
          <w:p w14:paraId="76317387" w14:textId="77777777" w:rsidR="002B129E" w:rsidRDefault="009D7423">
            <w:pPr>
              <w:pStyle w:val="normal0"/>
              <w:spacing w:before="42"/>
              <w:ind w:left="100"/>
              <w:rPr>
                <w:rFonts w:ascii="Muli" w:eastAsia="Muli" w:hAnsi="Muli" w:cs="Muli"/>
                <w:b/>
                <w:color w:val="2F5496"/>
                <w:sz w:val="20"/>
                <w:szCs w:val="20"/>
              </w:rPr>
            </w:pPr>
            <w:r>
              <w:rPr>
                <w:rFonts w:ascii="Muli" w:eastAsia="Muli" w:hAnsi="Muli" w:cs="Muli"/>
                <w:sz w:val="20"/>
                <w:szCs w:val="20"/>
              </w:rPr>
              <w:t>They provide strong support for teachers to monitor student learning and progress over time, and make decisions about instruction and provide feedback.</w:t>
            </w:r>
          </w:p>
        </w:tc>
      </w:tr>
      <w:tr w:rsidR="002B129E" w14:paraId="1888A46C" w14:textId="77777777">
        <w:trPr>
          <w:trHeight w:val="2500"/>
        </w:trPr>
        <w:tc>
          <w:tcPr>
            <w:tcW w:w="9375" w:type="dxa"/>
            <w:shd w:val="clear" w:color="auto" w:fill="FFFFFF"/>
            <w:tcMar>
              <w:top w:w="99" w:type="dxa"/>
              <w:left w:w="99" w:type="dxa"/>
              <w:bottom w:w="99" w:type="dxa"/>
              <w:right w:w="99" w:type="dxa"/>
            </w:tcMar>
          </w:tcPr>
          <w:p w14:paraId="7CFEC6BC" w14:textId="77777777" w:rsidR="002B129E" w:rsidRDefault="009D7423">
            <w:pPr>
              <w:pStyle w:val="normal0"/>
              <w:spacing w:before="42"/>
              <w:ind w:left="100"/>
              <w:rPr>
                <w:rFonts w:ascii="Muli" w:eastAsia="Muli" w:hAnsi="Muli" w:cs="Muli"/>
                <w:b/>
                <w:sz w:val="20"/>
                <w:szCs w:val="20"/>
              </w:rPr>
            </w:pPr>
            <w:r>
              <w:rPr>
                <w:rFonts w:ascii="Muli" w:eastAsia="Muli" w:hAnsi="Muli" w:cs="Muli"/>
                <w:b/>
                <w:sz w:val="20"/>
                <w:szCs w:val="20"/>
              </w:rPr>
              <w:lastRenderedPageBreak/>
              <w:t>Evidence</w:t>
            </w:r>
          </w:p>
          <w:p w14:paraId="551B249D" w14:textId="77777777" w:rsidR="002B129E" w:rsidRDefault="009D7423">
            <w:pPr>
              <w:pStyle w:val="normal0"/>
              <w:numPr>
                <w:ilvl w:val="0"/>
                <w:numId w:val="27"/>
              </w:numPr>
              <w:contextualSpacing/>
              <w:rPr>
                <w:rFonts w:ascii="Muli" w:eastAsia="Muli" w:hAnsi="Muli" w:cs="Muli"/>
                <w:sz w:val="20"/>
                <w:szCs w:val="20"/>
              </w:rPr>
            </w:pPr>
            <w:r>
              <w:rPr>
                <w:rFonts w:ascii="Muli" w:eastAsia="Muli" w:hAnsi="Muli" w:cs="Muli"/>
                <w:sz w:val="20"/>
                <w:szCs w:val="20"/>
              </w:rPr>
              <w:t>There is a Pre-Exploration (diagnostic pre-assessment) at the start of the module that assesses prior knowledge and misconceptions (DQ1L1 TB p. 4). Notes in the Teacher Edition and the Movement Progress Tracker support teachers to monitor students' mastery</w:t>
            </w:r>
            <w:r>
              <w:rPr>
                <w:rFonts w:ascii="Muli" w:eastAsia="Muli" w:hAnsi="Muli" w:cs="Muli"/>
                <w:sz w:val="20"/>
                <w:szCs w:val="20"/>
              </w:rPr>
              <w:t xml:space="preserve"> of their misconceptions and the three dimensions and give suggestions for how to tailor instruction accordingly (DQ1L4 Spark TE p. 30, </w:t>
            </w:r>
            <w:r>
              <w:rPr>
                <w:rFonts w:ascii="Muli" w:eastAsia="Muli" w:hAnsi="Muli" w:cs="Muli"/>
                <w:b/>
                <w:color w:val="FF126D"/>
                <w:sz w:val="20"/>
                <w:szCs w:val="20"/>
              </w:rPr>
              <w:t>DQ1L5 Spark TE p. 38</w:t>
            </w:r>
            <w:r>
              <w:rPr>
                <w:rFonts w:ascii="Muli" w:eastAsia="Muli" w:hAnsi="Muli" w:cs="Muli"/>
                <w:sz w:val="20"/>
                <w:szCs w:val="20"/>
              </w:rPr>
              <w:t>, DQ1L5 Investigate TE p. 40).</w:t>
            </w:r>
          </w:p>
          <w:p w14:paraId="0D5880DE" w14:textId="77777777" w:rsidR="002B129E" w:rsidRDefault="009D7423">
            <w:pPr>
              <w:pStyle w:val="normal0"/>
              <w:numPr>
                <w:ilvl w:val="0"/>
                <w:numId w:val="27"/>
              </w:numPr>
              <w:rPr>
                <w:rFonts w:ascii="Muli" w:eastAsia="Muli" w:hAnsi="Muli" w:cs="Muli"/>
                <w:sz w:val="20"/>
                <w:szCs w:val="20"/>
              </w:rPr>
            </w:pPr>
            <w:r>
              <w:rPr>
                <w:rFonts w:ascii="Muli" w:eastAsia="Muli" w:hAnsi="Muli" w:cs="Muli"/>
                <w:sz w:val="20"/>
                <w:szCs w:val="20"/>
              </w:rPr>
              <w:t xml:space="preserve">The Pre-Exploration and regular Formative Assessments inform teacher </w:t>
            </w:r>
            <w:r>
              <w:rPr>
                <w:rFonts w:ascii="Muli" w:eastAsia="Muli" w:hAnsi="Muli" w:cs="Muli"/>
                <w:sz w:val="20"/>
                <w:szCs w:val="20"/>
              </w:rPr>
              <w:t>at point of use as to which students require further support. The Progress Tracker and rubrics support teachers in monitoring students’ progress.</w:t>
            </w:r>
          </w:p>
        </w:tc>
        <w:tc>
          <w:tcPr>
            <w:tcW w:w="4590" w:type="dxa"/>
            <w:shd w:val="clear" w:color="auto" w:fill="FFFFFF"/>
            <w:tcMar>
              <w:top w:w="99" w:type="dxa"/>
              <w:left w:w="99" w:type="dxa"/>
              <w:bottom w:w="99" w:type="dxa"/>
              <w:right w:w="99" w:type="dxa"/>
            </w:tcMar>
          </w:tcPr>
          <w:p w14:paraId="1754725C" w14:textId="77777777" w:rsidR="002B129E" w:rsidRDefault="009D7423">
            <w:pPr>
              <w:pStyle w:val="normal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7B4A576C" wp14:editId="6E08D1A1">
                  <wp:extent cx="2828925" cy="11938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828925" cy="1193800"/>
                          </a:xfrm>
                          <a:prstGeom prst="rect">
                            <a:avLst/>
                          </a:prstGeom>
                          <a:ln/>
                        </pic:spPr>
                      </pic:pic>
                    </a:graphicData>
                  </a:graphic>
                </wp:inline>
              </w:drawing>
            </w:r>
          </w:p>
          <w:p w14:paraId="1DB3DF42" w14:textId="77777777" w:rsidR="002B129E" w:rsidRDefault="009D7423">
            <w:pPr>
              <w:pStyle w:val="normal0"/>
              <w:rPr>
                <w:rFonts w:ascii="Muli" w:eastAsia="Muli" w:hAnsi="Muli" w:cs="Muli"/>
                <w:b/>
                <w:color w:val="2F5496"/>
                <w:sz w:val="20"/>
                <w:szCs w:val="20"/>
              </w:rPr>
            </w:pPr>
            <w:r>
              <w:rPr>
                <w:rFonts w:ascii="Muli" w:eastAsia="Muli" w:hAnsi="Muli" w:cs="Muli"/>
                <w:b/>
                <w:color w:val="FF126D"/>
                <w:sz w:val="20"/>
                <w:szCs w:val="20"/>
              </w:rPr>
              <w:t>DQ1L5 Spark TE p. 38</w:t>
            </w:r>
          </w:p>
        </w:tc>
      </w:tr>
    </w:tbl>
    <w:p w14:paraId="4D18749D" w14:textId="77777777" w:rsidR="002B129E" w:rsidRDefault="002B129E">
      <w:pPr>
        <w:pStyle w:val="normal0"/>
        <w:pBdr>
          <w:top w:val="nil"/>
          <w:left w:val="nil"/>
          <w:bottom w:val="nil"/>
          <w:right w:val="nil"/>
          <w:between w:val="nil"/>
        </w:pBdr>
        <w:spacing w:line="276" w:lineRule="auto"/>
      </w:pPr>
    </w:p>
    <w:sectPr w:rsidR="002B129E">
      <w:headerReference w:type="default" r:id="rId27"/>
      <w:footerReference w:type="even" r:id="rId28"/>
      <w:footerReference w:type="default" r:id="rId29"/>
      <w:headerReference w:type="first" r:id="rId30"/>
      <w:footerReference w:type="first" r:id="rId31"/>
      <w:pgSz w:w="15840" w:h="12240"/>
      <w:pgMar w:top="1000" w:right="810" w:bottom="640" w:left="900" w:header="360" w:footer="443" w:gutter="0"/>
      <w:pgNumType w:start="1"/>
      <w:cols w:space="720" w:equalWidth="0">
        <w:col w:w="1413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FDD48" w14:textId="77777777" w:rsidR="00000000" w:rsidRDefault="009D7423">
      <w:r>
        <w:separator/>
      </w:r>
    </w:p>
  </w:endnote>
  <w:endnote w:type="continuationSeparator" w:id="0">
    <w:p w14:paraId="287D3446" w14:textId="77777777" w:rsidR="00000000" w:rsidRDefault="009D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DA9F6" w14:textId="77777777" w:rsidR="009D7423" w:rsidRDefault="009D7423"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DFEEA" w14:textId="77777777" w:rsidR="009D7423" w:rsidRDefault="009D7423" w:rsidP="009D74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B183D" w14:textId="77777777" w:rsidR="009D7423" w:rsidRDefault="009D7423"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93DB15A" w14:textId="77777777" w:rsidR="002B129E" w:rsidRDefault="002B129E" w:rsidP="009D7423">
    <w:pPr>
      <w:pStyle w:val="normal0"/>
      <w:pBdr>
        <w:top w:val="nil"/>
        <w:left w:val="nil"/>
        <w:bottom w:val="nil"/>
        <w:right w:val="nil"/>
        <w:between w:val="nil"/>
      </w:pBdr>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E9BB2" w14:textId="77777777" w:rsidR="002B129E" w:rsidRDefault="002B129E">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EF004" w14:textId="77777777" w:rsidR="00000000" w:rsidRDefault="009D7423">
      <w:r>
        <w:separator/>
      </w:r>
    </w:p>
  </w:footnote>
  <w:footnote w:type="continuationSeparator" w:id="0">
    <w:p w14:paraId="1FB80D04" w14:textId="77777777" w:rsidR="00000000" w:rsidRDefault="009D7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AAD76" w14:textId="77777777" w:rsidR="002B129E" w:rsidRDefault="009D7423">
    <w:pPr>
      <w:pStyle w:val="normal0"/>
    </w:pPr>
    <w:r>
      <w:rPr>
        <w:noProof/>
      </w:rPr>
      <w:drawing>
        <wp:anchor distT="0" distB="0" distL="0" distR="0" simplePos="0" relativeHeight="251658240" behindDoc="0" locked="0" layoutInCell="1" hidden="0" allowOverlap="1" wp14:anchorId="5FFF118A" wp14:editId="5750D5DD">
          <wp:simplePos x="0" y="0"/>
          <wp:positionH relativeFrom="column">
            <wp:posOffset>7743825</wp:posOffset>
          </wp:positionH>
          <wp:positionV relativeFrom="paragraph">
            <wp:posOffset>9525</wp:posOffset>
          </wp:positionV>
          <wp:extent cx="1504950" cy="360045"/>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CDA8" w14:textId="77777777" w:rsidR="002B129E" w:rsidRDefault="009D7423">
    <w:pPr>
      <w:pStyle w:val="normal0"/>
    </w:pPr>
    <w:r>
      <w:rPr>
        <w:noProof/>
      </w:rPr>
      <w:drawing>
        <wp:anchor distT="0" distB="0" distL="0" distR="0" simplePos="0" relativeHeight="251659264" behindDoc="0" locked="0" layoutInCell="1" hidden="0" allowOverlap="1" wp14:anchorId="53296D5B" wp14:editId="77550F60">
          <wp:simplePos x="0" y="0"/>
          <wp:positionH relativeFrom="column">
            <wp:posOffset>-228599</wp:posOffset>
          </wp:positionH>
          <wp:positionV relativeFrom="paragraph">
            <wp:posOffset>19050</wp:posOffset>
          </wp:positionV>
          <wp:extent cx="9544050" cy="1143000"/>
          <wp:effectExtent l="0" t="0" r="0" b="0"/>
          <wp:wrapSquare wrapText="bothSides" distT="0" distB="0" distL="0" distR="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t="9090" b="6993"/>
                  <a:stretch>
                    <a:fillRect/>
                  </a:stretch>
                </pic:blipFill>
                <pic:spPr>
                  <a:xfrm>
                    <a:off x="0" y="0"/>
                    <a:ext cx="9544050" cy="11430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B43"/>
    <w:multiLevelType w:val="multilevel"/>
    <w:tmpl w:val="19EAA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367212"/>
    <w:multiLevelType w:val="multilevel"/>
    <w:tmpl w:val="CF127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F71E8A"/>
    <w:multiLevelType w:val="multilevel"/>
    <w:tmpl w:val="A4DE4AAA"/>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3">
    <w:nsid w:val="10D43C03"/>
    <w:multiLevelType w:val="multilevel"/>
    <w:tmpl w:val="EA8C8362"/>
    <w:lvl w:ilvl="0">
      <w:numFmt w:val="bullet"/>
      <w:lvlText w:val="●"/>
      <w:lvlJc w:val="left"/>
      <w:pPr>
        <w:ind w:left="100" w:hanging="360"/>
      </w:pPr>
      <w:rPr>
        <w:rFonts w:ascii="Calibri" w:eastAsia="Calibri" w:hAnsi="Calibri" w:cs="Calibri"/>
        <w:sz w:val="20"/>
        <w:szCs w:val="20"/>
      </w:rPr>
    </w:lvl>
    <w:lvl w:ilvl="1">
      <w:numFmt w:val="bullet"/>
      <w:lvlText w:val="•"/>
      <w:lvlJc w:val="left"/>
      <w:pPr>
        <w:ind w:left="820" w:hanging="360"/>
      </w:pPr>
    </w:lvl>
    <w:lvl w:ilvl="2">
      <w:numFmt w:val="bullet"/>
      <w:lvlText w:val="•"/>
      <w:lvlJc w:val="left"/>
      <w:pPr>
        <w:ind w:left="1540" w:hanging="360"/>
      </w:pPr>
    </w:lvl>
    <w:lvl w:ilvl="3">
      <w:numFmt w:val="bullet"/>
      <w:lvlText w:val="•"/>
      <w:lvlJc w:val="left"/>
      <w:pPr>
        <w:ind w:left="2260" w:hanging="360"/>
      </w:pPr>
    </w:lvl>
    <w:lvl w:ilvl="4">
      <w:numFmt w:val="bullet"/>
      <w:lvlText w:val="•"/>
      <w:lvlJc w:val="left"/>
      <w:pPr>
        <w:ind w:left="2980" w:hanging="360"/>
      </w:pPr>
    </w:lvl>
    <w:lvl w:ilvl="5">
      <w:numFmt w:val="bullet"/>
      <w:lvlText w:val="•"/>
      <w:lvlJc w:val="left"/>
      <w:pPr>
        <w:ind w:left="3700" w:hanging="360"/>
      </w:pPr>
    </w:lvl>
    <w:lvl w:ilvl="6">
      <w:numFmt w:val="bullet"/>
      <w:lvlText w:val="•"/>
      <w:lvlJc w:val="left"/>
      <w:pPr>
        <w:ind w:left="4420" w:hanging="360"/>
      </w:pPr>
    </w:lvl>
    <w:lvl w:ilvl="7">
      <w:numFmt w:val="bullet"/>
      <w:lvlText w:val="•"/>
      <w:lvlJc w:val="left"/>
      <w:pPr>
        <w:ind w:left="5140" w:hanging="360"/>
      </w:pPr>
    </w:lvl>
    <w:lvl w:ilvl="8">
      <w:numFmt w:val="bullet"/>
      <w:lvlText w:val="•"/>
      <w:lvlJc w:val="left"/>
      <w:pPr>
        <w:ind w:left="5860" w:hanging="360"/>
      </w:pPr>
    </w:lvl>
  </w:abstractNum>
  <w:abstractNum w:abstractNumId="4">
    <w:nsid w:val="126B5488"/>
    <w:multiLevelType w:val="multilevel"/>
    <w:tmpl w:val="52947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9F79E2"/>
    <w:multiLevelType w:val="multilevel"/>
    <w:tmpl w:val="4F08409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9F33FB3"/>
    <w:multiLevelType w:val="multilevel"/>
    <w:tmpl w:val="CBF27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AB1227C"/>
    <w:multiLevelType w:val="multilevel"/>
    <w:tmpl w:val="3048A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6D36AA"/>
    <w:multiLevelType w:val="multilevel"/>
    <w:tmpl w:val="A2262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6BF1628"/>
    <w:multiLevelType w:val="multilevel"/>
    <w:tmpl w:val="872C1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730145"/>
    <w:multiLevelType w:val="multilevel"/>
    <w:tmpl w:val="CC882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D735F44"/>
    <w:multiLevelType w:val="multilevel"/>
    <w:tmpl w:val="DD52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D9C7EE3"/>
    <w:multiLevelType w:val="multilevel"/>
    <w:tmpl w:val="5504CC94"/>
    <w:lvl w:ilvl="0">
      <w:numFmt w:val="bullet"/>
      <w:lvlText w:val="●"/>
      <w:lvlJc w:val="left"/>
      <w:pPr>
        <w:ind w:left="835" w:hanging="360"/>
      </w:pPr>
      <w:rPr>
        <w:rFonts w:ascii="Arial" w:eastAsia="Arial" w:hAnsi="Arial" w:cs="Arial"/>
        <w:sz w:val="20"/>
        <w:szCs w:val="20"/>
      </w:rPr>
    </w:lvl>
    <w:lvl w:ilvl="1">
      <w:numFmt w:val="bullet"/>
      <w:lvlText w:val="○"/>
      <w:lvlJc w:val="left"/>
      <w:pPr>
        <w:ind w:left="1636" w:hanging="360"/>
      </w:pPr>
    </w:lvl>
    <w:lvl w:ilvl="2">
      <w:numFmt w:val="bullet"/>
      <w:lvlText w:val="■"/>
      <w:lvlJc w:val="left"/>
      <w:pPr>
        <w:ind w:left="2433" w:hanging="360"/>
      </w:pPr>
    </w:lvl>
    <w:lvl w:ilvl="3">
      <w:numFmt w:val="bullet"/>
      <w:lvlText w:val="●"/>
      <w:lvlJc w:val="left"/>
      <w:pPr>
        <w:ind w:left="3230" w:hanging="360"/>
      </w:pPr>
    </w:lvl>
    <w:lvl w:ilvl="4">
      <w:numFmt w:val="bullet"/>
      <w:lvlText w:val="○"/>
      <w:lvlJc w:val="left"/>
      <w:pPr>
        <w:ind w:left="4027" w:hanging="360"/>
      </w:pPr>
    </w:lvl>
    <w:lvl w:ilvl="5">
      <w:numFmt w:val="bullet"/>
      <w:lvlText w:val="■"/>
      <w:lvlJc w:val="left"/>
      <w:pPr>
        <w:ind w:left="4824" w:hanging="360"/>
      </w:pPr>
    </w:lvl>
    <w:lvl w:ilvl="6">
      <w:numFmt w:val="bullet"/>
      <w:lvlText w:val="●"/>
      <w:lvlJc w:val="left"/>
      <w:pPr>
        <w:ind w:left="5621" w:hanging="360"/>
      </w:pPr>
    </w:lvl>
    <w:lvl w:ilvl="7">
      <w:numFmt w:val="bullet"/>
      <w:lvlText w:val="○"/>
      <w:lvlJc w:val="left"/>
      <w:pPr>
        <w:ind w:left="6418" w:hanging="360"/>
      </w:pPr>
    </w:lvl>
    <w:lvl w:ilvl="8">
      <w:numFmt w:val="bullet"/>
      <w:lvlText w:val="■"/>
      <w:lvlJc w:val="left"/>
      <w:pPr>
        <w:ind w:left="7215" w:hanging="360"/>
      </w:pPr>
    </w:lvl>
  </w:abstractNum>
  <w:abstractNum w:abstractNumId="13">
    <w:nsid w:val="3DED7DC2"/>
    <w:multiLevelType w:val="multilevel"/>
    <w:tmpl w:val="B656948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E3167A6"/>
    <w:multiLevelType w:val="multilevel"/>
    <w:tmpl w:val="47F0390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1E92DB3"/>
    <w:multiLevelType w:val="multilevel"/>
    <w:tmpl w:val="C002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3F053B1"/>
    <w:multiLevelType w:val="multilevel"/>
    <w:tmpl w:val="C676134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61C3FAF"/>
    <w:multiLevelType w:val="multilevel"/>
    <w:tmpl w:val="BF9E8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B4F1D20"/>
    <w:multiLevelType w:val="multilevel"/>
    <w:tmpl w:val="3D483C0A"/>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19">
    <w:nsid w:val="5C6D7C64"/>
    <w:multiLevelType w:val="multilevel"/>
    <w:tmpl w:val="9C747D8E"/>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abstractNum w:abstractNumId="20">
    <w:nsid w:val="5C922235"/>
    <w:multiLevelType w:val="multilevel"/>
    <w:tmpl w:val="24A29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D69451C"/>
    <w:multiLevelType w:val="multilevel"/>
    <w:tmpl w:val="FDDC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FF458D9"/>
    <w:multiLevelType w:val="multilevel"/>
    <w:tmpl w:val="9E94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10A16DF"/>
    <w:multiLevelType w:val="multilevel"/>
    <w:tmpl w:val="1BAE5AF2"/>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24">
    <w:nsid w:val="63FD3757"/>
    <w:multiLevelType w:val="multilevel"/>
    <w:tmpl w:val="6B8A1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9164AC7"/>
    <w:multiLevelType w:val="multilevel"/>
    <w:tmpl w:val="FA2A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2E04385"/>
    <w:multiLevelType w:val="multilevel"/>
    <w:tmpl w:val="341ED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38871D8"/>
    <w:multiLevelType w:val="multilevel"/>
    <w:tmpl w:val="72545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4A236D0"/>
    <w:multiLevelType w:val="multilevel"/>
    <w:tmpl w:val="14845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8010875"/>
    <w:multiLevelType w:val="multilevel"/>
    <w:tmpl w:val="31607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E7B7ECD"/>
    <w:multiLevelType w:val="multilevel"/>
    <w:tmpl w:val="C3C61FD2"/>
    <w:lvl w:ilvl="0">
      <w:numFmt w:val="bullet"/>
      <w:lvlText w:val="●"/>
      <w:lvlJc w:val="left"/>
      <w:pPr>
        <w:ind w:left="460" w:hanging="360"/>
      </w:pPr>
      <w:rPr>
        <w:rFonts w:ascii="Calibri" w:eastAsia="Calibri" w:hAnsi="Calibri" w:cs="Calibri"/>
        <w:sz w:val="20"/>
        <w:szCs w:val="20"/>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6" w:hanging="360"/>
      </w:pPr>
    </w:lvl>
    <w:lvl w:ilvl="5">
      <w:numFmt w:val="bullet"/>
      <w:lvlText w:val="•"/>
      <w:lvlJc w:val="left"/>
      <w:pPr>
        <w:ind w:left="3880" w:hanging="360"/>
      </w:pPr>
    </w:lvl>
    <w:lvl w:ilvl="6">
      <w:numFmt w:val="bullet"/>
      <w:lvlText w:val="•"/>
      <w:lvlJc w:val="left"/>
      <w:pPr>
        <w:ind w:left="4564" w:hanging="360"/>
      </w:pPr>
    </w:lvl>
    <w:lvl w:ilvl="7">
      <w:numFmt w:val="bullet"/>
      <w:lvlText w:val="•"/>
      <w:lvlJc w:val="left"/>
      <w:pPr>
        <w:ind w:left="5248" w:hanging="360"/>
      </w:pPr>
    </w:lvl>
    <w:lvl w:ilvl="8">
      <w:numFmt w:val="bullet"/>
      <w:lvlText w:val="•"/>
      <w:lvlJc w:val="left"/>
      <w:pPr>
        <w:ind w:left="5932" w:hanging="360"/>
      </w:pPr>
    </w:lvl>
  </w:abstractNum>
  <w:num w:numId="1">
    <w:abstractNumId w:val="2"/>
  </w:num>
  <w:num w:numId="2">
    <w:abstractNumId w:val="19"/>
  </w:num>
  <w:num w:numId="3">
    <w:abstractNumId w:val="6"/>
  </w:num>
  <w:num w:numId="4">
    <w:abstractNumId w:val="12"/>
  </w:num>
  <w:num w:numId="5">
    <w:abstractNumId w:val="26"/>
  </w:num>
  <w:num w:numId="6">
    <w:abstractNumId w:val="23"/>
  </w:num>
  <w:num w:numId="7">
    <w:abstractNumId w:val="7"/>
  </w:num>
  <w:num w:numId="8">
    <w:abstractNumId w:val="3"/>
  </w:num>
  <w:num w:numId="9">
    <w:abstractNumId w:val="28"/>
  </w:num>
  <w:num w:numId="10">
    <w:abstractNumId w:val="9"/>
  </w:num>
  <w:num w:numId="11">
    <w:abstractNumId w:val="18"/>
  </w:num>
  <w:num w:numId="12">
    <w:abstractNumId w:val="25"/>
  </w:num>
  <w:num w:numId="13">
    <w:abstractNumId w:val="4"/>
  </w:num>
  <w:num w:numId="14">
    <w:abstractNumId w:val="30"/>
  </w:num>
  <w:num w:numId="15">
    <w:abstractNumId w:val="0"/>
  </w:num>
  <w:num w:numId="16">
    <w:abstractNumId w:val="10"/>
  </w:num>
  <w:num w:numId="17">
    <w:abstractNumId w:val="13"/>
  </w:num>
  <w:num w:numId="18">
    <w:abstractNumId w:val="1"/>
  </w:num>
  <w:num w:numId="19">
    <w:abstractNumId w:val="14"/>
  </w:num>
  <w:num w:numId="20">
    <w:abstractNumId w:val="15"/>
  </w:num>
  <w:num w:numId="21">
    <w:abstractNumId w:val="11"/>
  </w:num>
  <w:num w:numId="22">
    <w:abstractNumId w:val="22"/>
  </w:num>
  <w:num w:numId="23">
    <w:abstractNumId w:val="17"/>
  </w:num>
  <w:num w:numId="24">
    <w:abstractNumId w:val="5"/>
  </w:num>
  <w:num w:numId="25">
    <w:abstractNumId w:val="21"/>
  </w:num>
  <w:num w:numId="26">
    <w:abstractNumId w:val="16"/>
  </w:num>
  <w:num w:numId="27">
    <w:abstractNumId w:val="24"/>
  </w:num>
  <w:num w:numId="28">
    <w:abstractNumId w:val="20"/>
  </w:num>
  <w:num w:numId="29">
    <w:abstractNumId w:val="29"/>
  </w:num>
  <w:num w:numId="30">
    <w:abstractNumId w:val="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B129E"/>
    <w:rsid w:val="002B129E"/>
    <w:rsid w:val="009D74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79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D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423"/>
    <w:rPr>
      <w:rFonts w:ascii="Lucida Grande" w:hAnsi="Lucida Grande" w:cs="Lucida Grande"/>
      <w:sz w:val="18"/>
      <w:szCs w:val="18"/>
    </w:rPr>
  </w:style>
  <w:style w:type="table" w:styleId="TableGrid">
    <w:name w:val="Table Grid"/>
    <w:basedOn w:val="TableNormal"/>
    <w:uiPriority w:val="59"/>
    <w:rsid w:val="009D7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D7423"/>
    <w:pPr>
      <w:tabs>
        <w:tab w:val="center" w:pos="4320"/>
        <w:tab w:val="right" w:pos="8640"/>
      </w:tabs>
    </w:pPr>
  </w:style>
  <w:style w:type="character" w:customStyle="1" w:styleId="FooterChar">
    <w:name w:val="Footer Char"/>
    <w:basedOn w:val="DefaultParagraphFont"/>
    <w:link w:val="Footer"/>
    <w:uiPriority w:val="99"/>
    <w:rsid w:val="009D7423"/>
  </w:style>
  <w:style w:type="character" w:styleId="PageNumber">
    <w:name w:val="page number"/>
    <w:basedOn w:val="DefaultParagraphFont"/>
    <w:uiPriority w:val="99"/>
    <w:semiHidden/>
    <w:unhideWhenUsed/>
    <w:rsid w:val="009D74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D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423"/>
    <w:rPr>
      <w:rFonts w:ascii="Lucida Grande" w:hAnsi="Lucida Grande" w:cs="Lucida Grande"/>
      <w:sz w:val="18"/>
      <w:szCs w:val="18"/>
    </w:rPr>
  </w:style>
  <w:style w:type="table" w:styleId="TableGrid">
    <w:name w:val="Table Grid"/>
    <w:basedOn w:val="TableNormal"/>
    <w:uiPriority w:val="59"/>
    <w:rsid w:val="009D7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D7423"/>
    <w:pPr>
      <w:tabs>
        <w:tab w:val="center" w:pos="4320"/>
        <w:tab w:val="right" w:pos="8640"/>
      </w:tabs>
    </w:pPr>
  </w:style>
  <w:style w:type="character" w:customStyle="1" w:styleId="FooterChar">
    <w:name w:val="Footer Char"/>
    <w:basedOn w:val="DefaultParagraphFont"/>
    <w:link w:val="Footer"/>
    <w:uiPriority w:val="99"/>
    <w:rsid w:val="009D7423"/>
  </w:style>
  <w:style w:type="character" w:styleId="PageNumber">
    <w:name w:val="page number"/>
    <w:basedOn w:val="DefaultParagraphFont"/>
    <w:uiPriority w:val="99"/>
    <w:semiHidden/>
    <w:unhideWhenUsed/>
    <w:rsid w:val="009D7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4897</Words>
  <Characters>27913</Characters>
  <Application>Microsoft Macintosh Word</Application>
  <DocSecurity>0</DocSecurity>
  <Lines>232</Lines>
  <Paragraphs>65</Paragraphs>
  <ScaleCrop>false</ScaleCrop>
  <Company/>
  <LinksUpToDate>false</LinksUpToDate>
  <CharactersWithSpaces>32745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2</cp:revision>
  <dcterms:created xsi:type="dcterms:W3CDTF">2018-11-19T16:05:00Z</dcterms:created>
  <dcterms:modified xsi:type="dcterms:W3CDTF">2018-11-19T16:16:00Z</dcterms:modified>
</cp:coreProperties>
</file>