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48FB3" w14:textId="77777777" w:rsidR="00456479" w:rsidRDefault="00267ACA">
      <w:pPr>
        <w:pStyle w:val="normal0"/>
        <w:spacing w:before="147"/>
        <w:ind w:left="270"/>
        <w:rPr>
          <w:rFonts w:ascii="Muli" w:eastAsia="Muli" w:hAnsi="Muli" w:cs="Muli"/>
          <w:b/>
          <w:color w:val="FF126D"/>
          <w:sz w:val="28"/>
          <w:szCs w:val="28"/>
        </w:rPr>
      </w:pPr>
      <w:r>
        <w:rPr>
          <w:rFonts w:ascii="Muli" w:eastAsia="Muli" w:hAnsi="Muli" w:cs="Muli"/>
          <w:b/>
          <w:color w:val="FF126D"/>
          <w:sz w:val="28"/>
          <w:szCs w:val="28"/>
        </w:rPr>
        <w:t>Designed for NGSS: Student Work Rubric</w:t>
      </w:r>
    </w:p>
    <w:p w14:paraId="54C9730F" w14:textId="77777777" w:rsidR="00456479" w:rsidRDefault="00267ACA">
      <w:pPr>
        <w:pStyle w:val="normal0"/>
        <w:spacing w:before="147"/>
        <w:ind w:left="270"/>
        <w:rPr>
          <w:rFonts w:ascii="Muli" w:eastAsia="Muli" w:hAnsi="Muli" w:cs="Muli"/>
          <w:b/>
          <w:sz w:val="20"/>
          <w:szCs w:val="20"/>
        </w:rPr>
      </w:pPr>
      <w:r>
        <w:rPr>
          <w:rFonts w:ascii="Muli" w:eastAsia="Muli" w:hAnsi="Muli" w:cs="Muli"/>
          <w:b/>
          <w:sz w:val="20"/>
          <w:szCs w:val="20"/>
        </w:rPr>
        <w:t>Analyze Evidence</w:t>
      </w:r>
    </w:p>
    <w:p w14:paraId="4F4FE6A8" w14:textId="77777777" w:rsidR="00456479" w:rsidRDefault="00267ACA">
      <w:pPr>
        <w:pStyle w:val="normal0"/>
        <w:spacing w:before="147"/>
        <w:ind w:left="270"/>
        <w:rPr>
          <w:rFonts w:ascii="Muli" w:eastAsia="Muli" w:hAnsi="Muli" w:cs="Muli"/>
          <w:b/>
          <w:color w:val="15A798"/>
          <w:sz w:val="28"/>
          <w:szCs w:val="28"/>
        </w:rPr>
      </w:pPr>
      <w:r>
        <w:rPr>
          <w:rFonts w:ascii="Muli" w:eastAsia="Muli" w:hAnsi="Muli" w:cs="Muli"/>
          <w:b/>
          <w:sz w:val="20"/>
          <w:szCs w:val="20"/>
        </w:rPr>
        <w:t>Directions:</w:t>
      </w:r>
    </w:p>
    <w:p w14:paraId="47509D90" w14:textId="77777777" w:rsidR="00456479" w:rsidRDefault="00267ACA">
      <w:pPr>
        <w:pStyle w:val="normal0"/>
        <w:numPr>
          <w:ilvl w:val="0"/>
          <w:numId w:val="21"/>
        </w:numPr>
        <w:tabs>
          <w:tab w:val="left" w:pos="1127"/>
          <w:tab w:val="left" w:pos="1128"/>
        </w:tabs>
        <w:ind w:left="270" w:firstLine="0"/>
        <w:rPr>
          <w:rFonts w:ascii="Muli" w:eastAsia="Muli" w:hAnsi="Muli" w:cs="Muli"/>
        </w:rPr>
      </w:pPr>
      <w:r>
        <w:rPr>
          <w:rFonts w:ascii="Muli" w:eastAsia="Muli" w:hAnsi="Muli" w:cs="Muli"/>
          <w:sz w:val="20"/>
          <w:szCs w:val="20"/>
        </w:rPr>
        <w:t>Review your assigned materials to describe the path of student thinking.</w:t>
      </w:r>
    </w:p>
    <w:p w14:paraId="7AB971AE" w14:textId="77777777" w:rsidR="00456479" w:rsidRDefault="00267ACA">
      <w:pPr>
        <w:pStyle w:val="normal0"/>
        <w:numPr>
          <w:ilvl w:val="0"/>
          <w:numId w:val="21"/>
        </w:numPr>
        <w:tabs>
          <w:tab w:val="left" w:pos="1127"/>
          <w:tab w:val="left" w:pos="1128"/>
        </w:tabs>
        <w:ind w:left="270" w:firstLine="0"/>
        <w:rPr>
          <w:rFonts w:ascii="Muli" w:eastAsia="Muli" w:hAnsi="Muli" w:cs="Muli"/>
        </w:rPr>
      </w:pPr>
      <w:r>
        <w:rPr>
          <w:rFonts w:ascii="Muli" w:eastAsia="Muli" w:hAnsi="Muli" w:cs="Muli"/>
          <w:sz w:val="20"/>
          <w:szCs w:val="20"/>
        </w:rPr>
        <w:t>Represent your answers to the questions in the space provided.</w:t>
      </w:r>
    </w:p>
    <w:p w14:paraId="374B0E48" w14:textId="77777777" w:rsidR="00456479" w:rsidRDefault="00267ACA">
      <w:pPr>
        <w:pStyle w:val="normal0"/>
        <w:numPr>
          <w:ilvl w:val="0"/>
          <w:numId w:val="21"/>
        </w:numPr>
        <w:tabs>
          <w:tab w:val="left" w:pos="1127"/>
          <w:tab w:val="left" w:pos="1128"/>
        </w:tabs>
        <w:ind w:left="270" w:firstLine="0"/>
        <w:rPr>
          <w:rFonts w:ascii="Muli" w:eastAsia="Muli" w:hAnsi="Muli" w:cs="Muli"/>
        </w:rPr>
      </w:pPr>
      <w:r>
        <w:rPr>
          <w:rFonts w:ascii="Muli" w:eastAsia="Muli" w:hAnsi="Muli" w:cs="Muli"/>
          <w:sz w:val="20"/>
          <w:szCs w:val="20"/>
        </w:rPr>
        <w:t>Be prepared to share the path of student thinking visually on a public chart.</w:t>
      </w:r>
    </w:p>
    <w:p w14:paraId="556FB38D" w14:textId="77777777" w:rsidR="00456479" w:rsidRDefault="00456479">
      <w:pPr>
        <w:pStyle w:val="normal0"/>
        <w:spacing w:before="9" w:after="1"/>
        <w:ind w:left="180"/>
        <w:rPr>
          <w:rFonts w:ascii="Muli" w:eastAsia="Muli" w:hAnsi="Muli" w:cs="Muli"/>
          <w:sz w:val="20"/>
          <w:szCs w:val="20"/>
        </w:rPr>
      </w:pPr>
    </w:p>
    <w:tbl>
      <w:tblPr>
        <w:tblStyle w:val="a"/>
        <w:tblW w:w="14190"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0"/>
      </w:tblGrid>
      <w:tr w:rsidR="00456479" w14:paraId="1B78467F" w14:textId="77777777">
        <w:trPr>
          <w:trHeight w:val="320"/>
        </w:trPr>
        <w:tc>
          <w:tcPr>
            <w:tcW w:w="14190" w:type="dxa"/>
            <w:shd w:val="clear" w:color="auto" w:fill="FF126D"/>
          </w:tcPr>
          <w:p w14:paraId="3948086E" w14:textId="77777777" w:rsidR="00456479" w:rsidRDefault="00267ACA">
            <w:pPr>
              <w:pStyle w:val="normal0"/>
              <w:ind w:left="180" w:right="-120"/>
              <w:rPr>
                <w:sz w:val="20"/>
                <w:szCs w:val="20"/>
              </w:rPr>
            </w:pPr>
            <w:r>
              <w:rPr>
                <w:rFonts w:ascii="Muli" w:eastAsia="Muli" w:hAnsi="Muli" w:cs="Muli"/>
                <w:b/>
                <w:color w:val="FFFFFF"/>
                <w:sz w:val="20"/>
                <w:szCs w:val="20"/>
              </w:rPr>
              <w:t>Answer (in words, graphics, or both)</w:t>
            </w:r>
          </w:p>
        </w:tc>
      </w:tr>
      <w:tr w:rsidR="00456479" w14:paraId="7B1AB4AB" w14:textId="77777777">
        <w:trPr>
          <w:trHeight w:val="2820"/>
        </w:trPr>
        <w:tc>
          <w:tcPr>
            <w:tcW w:w="14190" w:type="dxa"/>
          </w:tcPr>
          <w:p w14:paraId="70352424" w14:textId="77777777" w:rsidR="00456479" w:rsidRDefault="00267ACA">
            <w:pPr>
              <w:pStyle w:val="normal0"/>
              <w:spacing w:before="121" w:line="276" w:lineRule="auto"/>
              <w:ind w:left="180" w:right="383"/>
              <w:rPr>
                <w:rFonts w:ascii="Muli" w:eastAsia="Muli" w:hAnsi="Muli" w:cs="Muli"/>
                <w:sz w:val="20"/>
                <w:szCs w:val="20"/>
              </w:rPr>
            </w:pPr>
            <w:r>
              <w:rPr>
                <w:rFonts w:ascii="Muli" w:eastAsia="Muli" w:hAnsi="Muli" w:cs="Muli"/>
                <w:sz w:val="20"/>
                <w:szCs w:val="20"/>
              </w:rPr>
              <w:t>Answer the following questions as you describe the path of student thinking in the materials. Consider what you would expect students to be</w:t>
            </w:r>
            <w:r>
              <w:rPr>
                <w:rFonts w:ascii="Muli" w:eastAsia="Muli" w:hAnsi="Muli" w:cs="Muli"/>
                <w:sz w:val="20"/>
                <w:szCs w:val="20"/>
              </w:rPr>
              <w:t xml:space="preserve"> thinking about through the learning experiences.</w:t>
            </w:r>
          </w:p>
          <w:p w14:paraId="41B86726" w14:textId="77777777" w:rsidR="00456479" w:rsidRDefault="00267ACA">
            <w:pPr>
              <w:pStyle w:val="normal0"/>
              <w:spacing w:before="121"/>
              <w:ind w:left="180"/>
              <w:rPr>
                <w:rFonts w:ascii="Muli" w:eastAsia="Muli" w:hAnsi="Muli" w:cs="Muli"/>
                <w:sz w:val="20"/>
                <w:szCs w:val="20"/>
              </w:rPr>
            </w:pPr>
            <w:r>
              <w:rPr>
                <w:rFonts w:ascii="Muli" w:eastAsia="Muli" w:hAnsi="Muli" w:cs="Muli"/>
                <w:sz w:val="20"/>
                <w:szCs w:val="20"/>
              </w:rPr>
              <w:t>What are students figuring out/solving?</w:t>
            </w:r>
          </w:p>
          <w:p w14:paraId="5A59F033" w14:textId="77777777" w:rsidR="00456479" w:rsidRDefault="00267ACA">
            <w:pPr>
              <w:pStyle w:val="normal0"/>
              <w:numPr>
                <w:ilvl w:val="0"/>
                <w:numId w:val="10"/>
              </w:numPr>
              <w:tabs>
                <w:tab w:val="left" w:pos="474"/>
                <w:tab w:val="left" w:pos="475"/>
              </w:tabs>
              <w:spacing w:before="156" w:line="276" w:lineRule="auto"/>
              <w:ind w:right="521"/>
              <w:rPr>
                <w:rFonts w:ascii="Muli" w:eastAsia="Muli" w:hAnsi="Muli" w:cs="Muli"/>
                <w:sz w:val="20"/>
                <w:szCs w:val="20"/>
              </w:rPr>
            </w:pPr>
            <w:r>
              <w:rPr>
                <w:rFonts w:ascii="Muli" w:eastAsia="Muli" w:hAnsi="Muli" w:cs="Muli"/>
                <w:sz w:val="20"/>
                <w:szCs w:val="20"/>
              </w:rPr>
              <w:t>What is driving student learning (e.g., question, scenario, problem, phenomenon, etc.)?</w:t>
            </w:r>
          </w:p>
          <w:p w14:paraId="4760B4BC" w14:textId="77777777" w:rsidR="00456479" w:rsidRDefault="00267ACA">
            <w:pPr>
              <w:pStyle w:val="normal0"/>
              <w:numPr>
                <w:ilvl w:val="0"/>
                <w:numId w:val="10"/>
              </w:numPr>
              <w:tabs>
                <w:tab w:val="left" w:pos="474"/>
                <w:tab w:val="left" w:pos="475"/>
              </w:tabs>
              <w:spacing w:before="120" w:line="276" w:lineRule="auto"/>
              <w:ind w:right="515"/>
              <w:rPr>
                <w:rFonts w:ascii="Muli" w:eastAsia="Muli" w:hAnsi="Muli" w:cs="Muli"/>
                <w:sz w:val="20"/>
                <w:szCs w:val="20"/>
              </w:rPr>
            </w:pPr>
            <w:r>
              <w:rPr>
                <w:rFonts w:ascii="Muli" w:eastAsia="Muli" w:hAnsi="Muli" w:cs="Muli"/>
                <w:sz w:val="20"/>
                <w:szCs w:val="20"/>
              </w:rPr>
              <w:t>What ideas and practices do students develop through these experiences?</w:t>
            </w:r>
          </w:p>
          <w:p w14:paraId="640272D3" w14:textId="77777777" w:rsidR="00456479" w:rsidRDefault="00267ACA">
            <w:pPr>
              <w:pStyle w:val="normal0"/>
              <w:numPr>
                <w:ilvl w:val="0"/>
                <w:numId w:val="10"/>
              </w:numPr>
              <w:tabs>
                <w:tab w:val="left" w:pos="474"/>
                <w:tab w:val="left" w:pos="475"/>
              </w:tabs>
              <w:spacing w:before="121" w:line="276" w:lineRule="auto"/>
              <w:ind w:right="165"/>
              <w:rPr>
                <w:rFonts w:ascii="Muli" w:eastAsia="Muli" w:hAnsi="Muli" w:cs="Muli"/>
                <w:sz w:val="20"/>
                <w:szCs w:val="20"/>
              </w:rPr>
            </w:pPr>
            <w:r>
              <w:rPr>
                <w:rFonts w:ascii="Muli" w:eastAsia="Muli" w:hAnsi="Muli" w:cs="Muli"/>
                <w:sz w:val="20"/>
                <w:szCs w:val="20"/>
              </w:rPr>
              <w:t>How do students access, engage, and use prior knowledge to further their thinking?</w:t>
            </w:r>
          </w:p>
          <w:p w14:paraId="4CFC0362" w14:textId="77777777" w:rsidR="00456479" w:rsidRDefault="00267ACA">
            <w:pPr>
              <w:pStyle w:val="normal0"/>
              <w:numPr>
                <w:ilvl w:val="0"/>
                <w:numId w:val="10"/>
              </w:numPr>
              <w:tabs>
                <w:tab w:val="left" w:pos="474"/>
                <w:tab w:val="left" w:pos="475"/>
              </w:tabs>
              <w:spacing w:before="120" w:line="276" w:lineRule="auto"/>
              <w:ind w:right="284"/>
              <w:rPr>
                <w:rFonts w:ascii="Muli" w:eastAsia="Muli" w:hAnsi="Muli" w:cs="Muli"/>
                <w:sz w:val="20"/>
                <w:szCs w:val="20"/>
              </w:rPr>
            </w:pPr>
            <w:r>
              <w:rPr>
                <w:rFonts w:ascii="Muli" w:eastAsia="Muli" w:hAnsi="Muli" w:cs="Muli"/>
                <w:sz w:val="20"/>
                <w:szCs w:val="20"/>
              </w:rPr>
              <w:t>How do students develop metacognitive abilities?</w:t>
            </w:r>
          </w:p>
        </w:tc>
      </w:tr>
    </w:tbl>
    <w:p w14:paraId="4A91FDCE" w14:textId="77777777" w:rsidR="00456479" w:rsidRDefault="00267ACA">
      <w:pPr>
        <w:pStyle w:val="normal0"/>
        <w:spacing w:line="276" w:lineRule="auto"/>
        <w:rPr>
          <w:rFonts w:ascii="Muli" w:eastAsia="Muli" w:hAnsi="Muli" w:cs="Muli"/>
          <w:sz w:val="20"/>
          <w:szCs w:val="20"/>
        </w:rPr>
      </w:pPr>
      <w:r>
        <w:br w:type="page"/>
      </w:r>
    </w:p>
    <w:p w14:paraId="5DC2A113" w14:textId="77777777" w:rsidR="00456479" w:rsidRDefault="00456479">
      <w:pPr>
        <w:pStyle w:val="normal0"/>
        <w:spacing w:line="276" w:lineRule="auto"/>
        <w:rPr>
          <w:rFonts w:ascii="Muli" w:eastAsia="Muli" w:hAnsi="Muli" w:cs="Muli"/>
          <w:sz w:val="20"/>
          <w:szCs w:val="20"/>
        </w:rPr>
      </w:pPr>
    </w:p>
    <w:tbl>
      <w:tblPr>
        <w:tblStyle w:val="a0"/>
        <w:tblW w:w="14190"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90"/>
        <w:gridCol w:w="4800"/>
      </w:tblGrid>
      <w:tr w:rsidR="00456479" w14:paraId="7C7E0A5B" w14:textId="77777777">
        <w:trPr>
          <w:trHeight w:val="600"/>
        </w:trPr>
        <w:tc>
          <w:tcPr>
            <w:tcW w:w="14190" w:type="dxa"/>
            <w:gridSpan w:val="2"/>
            <w:shd w:val="clear" w:color="auto" w:fill="D9D9D9"/>
          </w:tcPr>
          <w:p w14:paraId="0EAA3C8F" w14:textId="77777777" w:rsidR="00456479" w:rsidRDefault="00267ACA">
            <w:pPr>
              <w:pStyle w:val="normal0"/>
              <w:ind w:left="180" w:right="105"/>
              <w:rPr>
                <w:rFonts w:ascii="Muli" w:eastAsia="Muli" w:hAnsi="Muli" w:cs="Muli"/>
                <w:b/>
                <w:color w:val="2F5496"/>
                <w:sz w:val="20"/>
                <w:szCs w:val="20"/>
              </w:rPr>
            </w:pPr>
            <w:r>
              <w:rPr>
                <w:rFonts w:ascii="Muli" w:eastAsia="Muli" w:hAnsi="Muli" w:cs="Muli"/>
                <w:b/>
                <w:color w:val="2F5496"/>
                <w:sz w:val="20"/>
                <w:szCs w:val="20"/>
              </w:rPr>
              <w:t>SW1. Phenomena/Problems.</w:t>
            </w:r>
          </w:p>
          <w:p w14:paraId="33E1E795" w14:textId="77777777" w:rsidR="00456479" w:rsidRDefault="00267ACA">
            <w:pPr>
              <w:pStyle w:val="normal0"/>
              <w:ind w:left="180"/>
              <w:rPr>
                <w:rFonts w:ascii="Muli" w:eastAsia="Muli" w:hAnsi="Muli" w:cs="Muli"/>
                <w:sz w:val="20"/>
                <w:szCs w:val="20"/>
              </w:rPr>
            </w:pPr>
            <w:r>
              <w:rPr>
                <w:rFonts w:ascii="Muli" w:eastAsia="Muli" w:hAnsi="Muli" w:cs="Muli"/>
                <w:sz w:val="20"/>
                <w:szCs w:val="20"/>
              </w:rPr>
              <w:t>Student learning is driven by figuring out a solution to the Module Phenomenon: How do the environment and genetics affect animals and plants?</w:t>
            </w:r>
          </w:p>
        </w:tc>
      </w:tr>
      <w:tr w:rsidR="00456479" w14:paraId="37B8B68B" w14:textId="77777777">
        <w:trPr>
          <w:trHeight w:val="2120"/>
        </w:trPr>
        <w:tc>
          <w:tcPr>
            <w:tcW w:w="14190" w:type="dxa"/>
            <w:gridSpan w:val="2"/>
          </w:tcPr>
          <w:p w14:paraId="0A602CFD" w14:textId="77777777" w:rsidR="00456479" w:rsidRDefault="00267ACA">
            <w:pPr>
              <w:pStyle w:val="normal0"/>
              <w:ind w:left="180"/>
              <w:rPr>
                <w:rFonts w:ascii="Muli" w:eastAsia="Muli" w:hAnsi="Muli" w:cs="Muli"/>
                <w:sz w:val="20"/>
                <w:szCs w:val="20"/>
                <w:shd w:val="clear" w:color="auto" w:fill="F4CCCC"/>
              </w:rPr>
            </w:pPr>
            <w:r>
              <w:rPr>
                <w:rFonts w:ascii="Muli" w:eastAsia="Muli" w:hAnsi="Muli" w:cs="Muli"/>
                <w:sz w:val="20"/>
                <w:szCs w:val="20"/>
              </w:rPr>
              <w:t>Students work through a series of Driving Questions (DQs)  that require them to make sense of a subset of smalle</w:t>
            </w:r>
            <w:r>
              <w:rPr>
                <w:rFonts w:ascii="Muli" w:eastAsia="Muli" w:hAnsi="Muli" w:cs="Muli"/>
                <w:sz w:val="20"/>
                <w:szCs w:val="20"/>
              </w:rPr>
              <w:t>r phenomena/problems</w:t>
            </w:r>
            <w:r>
              <w:rPr>
                <w:rFonts w:ascii="Muli" w:eastAsia="Muli" w:hAnsi="Muli" w:cs="Muli"/>
                <w:color w:val="0000FF"/>
                <w:sz w:val="20"/>
                <w:szCs w:val="20"/>
              </w:rPr>
              <w:t xml:space="preserve"> </w:t>
            </w:r>
            <w:r>
              <w:rPr>
                <w:rFonts w:ascii="Muli" w:eastAsia="Muli" w:hAnsi="Muli" w:cs="Muli"/>
                <w:sz w:val="20"/>
                <w:szCs w:val="20"/>
              </w:rPr>
              <w:t>and then connect what they now know to the central problem.  The skills and knowledge gained over these investigations culminate in a class symposium where they address present research on endangered species, addressing the Module Phen</w:t>
            </w:r>
            <w:r>
              <w:rPr>
                <w:rFonts w:ascii="Muli" w:eastAsia="Muli" w:hAnsi="Muli" w:cs="Muli"/>
                <w:sz w:val="20"/>
                <w:szCs w:val="20"/>
              </w:rPr>
              <w:t>omenon.</w:t>
            </w:r>
            <w:r>
              <w:rPr>
                <w:rFonts w:ascii="Muli" w:eastAsia="Muli" w:hAnsi="Muli" w:cs="Muli"/>
                <w:sz w:val="20"/>
                <w:szCs w:val="20"/>
                <w:shd w:val="clear" w:color="auto" w:fill="F4CCCC"/>
              </w:rPr>
              <w:t xml:space="preserve">  </w:t>
            </w:r>
          </w:p>
          <w:p w14:paraId="26AA96FD" w14:textId="77777777" w:rsidR="00456479" w:rsidRDefault="00456479">
            <w:pPr>
              <w:pStyle w:val="normal0"/>
              <w:ind w:firstLine="180"/>
              <w:rPr>
                <w:rFonts w:ascii="Muli" w:eastAsia="Muli" w:hAnsi="Muli" w:cs="Muli"/>
                <w:sz w:val="20"/>
                <w:szCs w:val="20"/>
                <w:shd w:val="clear" w:color="auto" w:fill="F4CCCC"/>
              </w:rPr>
            </w:pPr>
          </w:p>
          <w:p w14:paraId="796F40C6" w14:textId="77777777" w:rsidR="00456479" w:rsidRDefault="00267ACA">
            <w:pPr>
              <w:pStyle w:val="normal0"/>
              <w:numPr>
                <w:ilvl w:val="0"/>
                <w:numId w:val="7"/>
              </w:numPr>
              <w:ind w:hanging="540"/>
              <w:rPr>
                <w:rFonts w:ascii="Muli" w:eastAsia="Muli" w:hAnsi="Muli" w:cs="Muli"/>
                <w:b/>
                <w:sz w:val="20"/>
                <w:szCs w:val="20"/>
              </w:rPr>
            </w:pPr>
            <w:r>
              <w:rPr>
                <w:rFonts w:ascii="Muli" w:eastAsia="Muli" w:hAnsi="Muli" w:cs="Muli"/>
                <w:sz w:val="20"/>
                <w:szCs w:val="20"/>
              </w:rPr>
              <w:t>DQ1: How do animal behaviors and plant structures affect their survival and reproduction?</w:t>
            </w:r>
          </w:p>
          <w:p w14:paraId="3C14D61B" w14:textId="77777777" w:rsidR="00456479" w:rsidRDefault="00267ACA">
            <w:pPr>
              <w:pStyle w:val="normal0"/>
              <w:numPr>
                <w:ilvl w:val="0"/>
                <w:numId w:val="7"/>
              </w:numPr>
              <w:ind w:hanging="540"/>
              <w:rPr>
                <w:rFonts w:ascii="Muli" w:eastAsia="Muli" w:hAnsi="Muli" w:cs="Muli"/>
                <w:b/>
                <w:sz w:val="20"/>
                <w:szCs w:val="20"/>
              </w:rPr>
            </w:pPr>
            <w:r>
              <w:rPr>
                <w:rFonts w:ascii="Muli" w:eastAsia="Muli" w:hAnsi="Muli" w:cs="Muli"/>
                <w:sz w:val="20"/>
                <w:szCs w:val="20"/>
              </w:rPr>
              <w:t>DQ2: How do species reproduce?</w:t>
            </w:r>
          </w:p>
          <w:p w14:paraId="06668C20" w14:textId="77777777" w:rsidR="00456479" w:rsidRDefault="00267ACA">
            <w:pPr>
              <w:pStyle w:val="normal0"/>
              <w:numPr>
                <w:ilvl w:val="0"/>
                <w:numId w:val="7"/>
              </w:numPr>
              <w:ind w:hanging="540"/>
              <w:rPr>
                <w:rFonts w:ascii="Muli" w:eastAsia="Muli" w:hAnsi="Muli" w:cs="Muli"/>
                <w:b/>
                <w:sz w:val="20"/>
                <w:szCs w:val="20"/>
              </w:rPr>
            </w:pPr>
            <w:r>
              <w:rPr>
                <w:rFonts w:ascii="Muli" w:eastAsia="Muli" w:hAnsi="Muli" w:cs="Muli"/>
                <w:sz w:val="20"/>
                <w:szCs w:val="20"/>
              </w:rPr>
              <w:t>DQ3: How do environmental and genetic factors influence the growth of an organism?</w:t>
            </w:r>
          </w:p>
          <w:p w14:paraId="271A5196" w14:textId="77777777" w:rsidR="00456479" w:rsidRDefault="00267ACA">
            <w:pPr>
              <w:pStyle w:val="normal0"/>
              <w:numPr>
                <w:ilvl w:val="0"/>
                <w:numId w:val="7"/>
              </w:numPr>
              <w:ind w:hanging="540"/>
              <w:rPr>
                <w:rFonts w:ascii="Muli" w:eastAsia="Muli" w:hAnsi="Muli" w:cs="Muli"/>
                <w:b/>
                <w:sz w:val="20"/>
                <w:szCs w:val="20"/>
              </w:rPr>
            </w:pPr>
            <w:r>
              <w:rPr>
                <w:rFonts w:ascii="Muli" w:eastAsia="Muli" w:hAnsi="Muli" w:cs="Muli"/>
                <w:sz w:val="20"/>
                <w:szCs w:val="20"/>
              </w:rPr>
              <w:t>DQ4: How do we protect endangered species</w:t>
            </w:r>
            <w:r>
              <w:rPr>
                <w:rFonts w:ascii="Muli" w:eastAsia="Muli" w:hAnsi="Muli" w:cs="Muli"/>
                <w:sz w:val="20"/>
                <w:szCs w:val="20"/>
              </w:rPr>
              <w:t>?</w:t>
            </w:r>
          </w:p>
        </w:tc>
      </w:tr>
      <w:tr w:rsidR="00456479" w14:paraId="29A7CFFF" w14:textId="77777777">
        <w:trPr>
          <w:trHeight w:val="600"/>
        </w:trPr>
        <w:tc>
          <w:tcPr>
            <w:tcW w:w="9390" w:type="dxa"/>
          </w:tcPr>
          <w:p w14:paraId="443FBE2C" w14:textId="77777777" w:rsidR="00456479" w:rsidRDefault="00456479">
            <w:pPr>
              <w:pStyle w:val="normal0"/>
              <w:ind w:firstLine="180"/>
              <w:rPr>
                <w:rFonts w:ascii="Muli" w:eastAsia="Muli" w:hAnsi="Muli" w:cs="Muli"/>
                <w:sz w:val="20"/>
                <w:szCs w:val="20"/>
                <w:shd w:val="clear" w:color="auto" w:fill="F4CCCC"/>
              </w:rPr>
            </w:pPr>
          </w:p>
          <w:p w14:paraId="5C6F895B" w14:textId="77777777" w:rsidR="00456479" w:rsidRDefault="00267ACA">
            <w:pPr>
              <w:pStyle w:val="normal0"/>
              <w:ind w:left="180"/>
              <w:rPr>
                <w:rFonts w:ascii="Muli" w:eastAsia="Muli" w:hAnsi="Muli" w:cs="Muli"/>
                <w:sz w:val="20"/>
                <w:szCs w:val="20"/>
              </w:rPr>
            </w:pPr>
            <w:r>
              <w:rPr>
                <w:rFonts w:ascii="Muli" w:eastAsia="Muli" w:hAnsi="Muli" w:cs="Muli"/>
                <w:sz w:val="20"/>
                <w:szCs w:val="20"/>
              </w:rPr>
              <w:t xml:space="preserve">Interwoven with this science narrative is a storyline that requires students to take on the role of ecologists who devise a plan to safeguard an endangered species. They are introduced to the storyline through a movie-style </w:t>
            </w:r>
            <w:r>
              <w:rPr>
                <w:rFonts w:ascii="Muli" w:eastAsia="Muli" w:hAnsi="Muli" w:cs="Muli"/>
                <w:b/>
                <w:color w:val="FF126D"/>
                <w:sz w:val="20"/>
                <w:szCs w:val="20"/>
              </w:rPr>
              <w:t>Module Trailer</w:t>
            </w:r>
            <w:r>
              <w:rPr>
                <w:rFonts w:ascii="Muli" w:eastAsia="Muli" w:hAnsi="Muli" w:cs="Muli"/>
                <w:sz w:val="20"/>
                <w:szCs w:val="20"/>
              </w:rPr>
              <w:t>.</w:t>
            </w:r>
          </w:p>
          <w:p w14:paraId="3DF54D10" w14:textId="77777777" w:rsidR="00456479" w:rsidRDefault="00456479">
            <w:pPr>
              <w:pStyle w:val="normal0"/>
              <w:ind w:left="180"/>
              <w:rPr>
                <w:rFonts w:ascii="Muli" w:eastAsia="Muli" w:hAnsi="Muli" w:cs="Muli"/>
                <w:sz w:val="20"/>
                <w:szCs w:val="20"/>
                <w:shd w:val="clear" w:color="auto" w:fill="F4CCCC"/>
              </w:rPr>
            </w:pPr>
          </w:p>
          <w:p w14:paraId="069A32F6" w14:textId="77777777" w:rsidR="00456479" w:rsidRDefault="00267ACA">
            <w:pPr>
              <w:pStyle w:val="normal0"/>
              <w:ind w:left="180" w:right="105"/>
              <w:jc w:val="both"/>
              <w:rPr>
                <w:rFonts w:ascii="Muli" w:eastAsia="Muli" w:hAnsi="Muli" w:cs="Muli"/>
                <w:sz w:val="20"/>
                <w:szCs w:val="20"/>
              </w:rPr>
            </w:pPr>
            <w:r>
              <w:rPr>
                <w:rFonts w:ascii="Muli" w:eastAsia="Muli" w:hAnsi="Muli" w:cs="Muli"/>
                <w:sz w:val="20"/>
                <w:szCs w:val="20"/>
              </w:rPr>
              <w:t xml:space="preserve">The Module is complemented with </w:t>
            </w:r>
            <w:r>
              <w:rPr>
                <w:rFonts w:ascii="Muli" w:eastAsia="Muli" w:hAnsi="Muli" w:cs="Muli"/>
                <w:i/>
                <w:sz w:val="20"/>
                <w:szCs w:val="20"/>
              </w:rPr>
              <w:t>Biomes</w:t>
            </w:r>
            <w:r>
              <w:rPr>
                <w:rFonts w:ascii="Muli" w:eastAsia="Muli" w:hAnsi="Muli" w:cs="Muli"/>
                <w:sz w:val="20"/>
                <w:szCs w:val="20"/>
              </w:rPr>
              <w:t>, a magazine-style leveled reader (available in four levels and Spanish) that provides additional exposure to relevant phenomena/problems as well as an interview with an ecologist.  Packed with stunning images, cartoons, and jokes, it’s  designed to appeal</w:t>
            </w:r>
            <w:r>
              <w:rPr>
                <w:rFonts w:ascii="Muli" w:eastAsia="Muli" w:hAnsi="Muli" w:cs="Muli"/>
                <w:sz w:val="20"/>
                <w:szCs w:val="20"/>
              </w:rPr>
              <w:t xml:space="preserve"> to students with a diverse range of learning abilities.</w:t>
            </w:r>
          </w:p>
          <w:p w14:paraId="64A1BA2B" w14:textId="77777777" w:rsidR="00456479" w:rsidRDefault="00456479">
            <w:pPr>
              <w:pStyle w:val="normal0"/>
              <w:ind w:right="105" w:firstLine="180"/>
              <w:rPr>
                <w:rFonts w:ascii="Muli" w:eastAsia="Muli" w:hAnsi="Muli" w:cs="Muli"/>
                <w:b/>
                <w:color w:val="2F5496"/>
                <w:sz w:val="20"/>
                <w:szCs w:val="20"/>
              </w:rPr>
            </w:pPr>
          </w:p>
        </w:tc>
        <w:tc>
          <w:tcPr>
            <w:tcW w:w="4800" w:type="dxa"/>
          </w:tcPr>
          <w:p w14:paraId="2B6FE34E" w14:textId="77777777" w:rsidR="00456479" w:rsidRDefault="00267ACA">
            <w:pPr>
              <w:pStyle w:val="normal0"/>
              <w:ind w:right="383"/>
              <w:rPr>
                <w:rFonts w:ascii="Muli" w:eastAsia="Muli" w:hAnsi="Muli" w:cs="Muli"/>
                <w:sz w:val="20"/>
                <w:szCs w:val="20"/>
              </w:rPr>
            </w:pPr>
            <w:r>
              <w:rPr>
                <w:rFonts w:ascii="Muli" w:eastAsia="Muli" w:hAnsi="Muli" w:cs="Muli"/>
                <w:noProof/>
                <w:sz w:val="20"/>
                <w:szCs w:val="20"/>
              </w:rPr>
              <w:drawing>
                <wp:inline distT="114300" distB="114300" distL="114300" distR="114300" wp14:anchorId="261DF358" wp14:editId="660D3442">
                  <wp:extent cx="2928938" cy="1680237"/>
                  <wp:effectExtent l="0" t="0" r="0" b="0"/>
                  <wp:docPr id="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
                          <a:srcRect/>
                          <a:stretch>
                            <a:fillRect/>
                          </a:stretch>
                        </pic:blipFill>
                        <pic:spPr>
                          <a:xfrm>
                            <a:off x="0" y="0"/>
                            <a:ext cx="2928938" cy="1680237"/>
                          </a:xfrm>
                          <a:prstGeom prst="rect">
                            <a:avLst/>
                          </a:prstGeom>
                          <a:ln/>
                        </pic:spPr>
                      </pic:pic>
                    </a:graphicData>
                  </a:graphic>
                </wp:inline>
              </w:drawing>
            </w:r>
          </w:p>
          <w:p w14:paraId="7E6FFF73"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The Red List Module Trailer video</w:t>
            </w:r>
          </w:p>
        </w:tc>
      </w:tr>
      <w:tr w:rsidR="00456479" w14:paraId="56B637BB" w14:textId="77777777">
        <w:trPr>
          <w:trHeight w:val="1420"/>
        </w:trPr>
        <w:tc>
          <w:tcPr>
            <w:tcW w:w="9390" w:type="dxa"/>
            <w:vMerge w:val="restart"/>
          </w:tcPr>
          <w:p w14:paraId="25E32ECC" w14:textId="77777777" w:rsidR="00456479" w:rsidRDefault="00456479">
            <w:pPr>
              <w:pStyle w:val="normal0"/>
              <w:rPr>
                <w:rFonts w:ascii="Muli" w:eastAsia="Muli" w:hAnsi="Muli" w:cs="Muli"/>
                <w:b/>
                <w:sz w:val="20"/>
                <w:szCs w:val="20"/>
              </w:rPr>
            </w:pPr>
          </w:p>
          <w:p w14:paraId="178714B0" w14:textId="77777777" w:rsidR="00456479" w:rsidRDefault="00267ACA">
            <w:pPr>
              <w:pStyle w:val="normal0"/>
              <w:ind w:left="180"/>
              <w:rPr>
                <w:rFonts w:ascii="Muli" w:eastAsia="Muli" w:hAnsi="Muli" w:cs="Muli"/>
                <w:sz w:val="20"/>
                <w:szCs w:val="20"/>
                <w:shd w:val="clear" w:color="auto" w:fill="F4CCCC"/>
              </w:rPr>
            </w:pPr>
            <w:r>
              <w:rPr>
                <w:rFonts w:ascii="Muli" w:eastAsia="Muli" w:hAnsi="Muli" w:cs="Muli"/>
                <w:b/>
                <w:color w:val="FF126D"/>
                <w:sz w:val="20"/>
                <w:szCs w:val="20"/>
              </w:rPr>
              <w:t>Evidence of Phenomena/Problems.</w:t>
            </w:r>
          </w:p>
          <w:p w14:paraId="34316FD7" w14:textId="77777777" w:rsidR="00456479" w:rsidRDefault="00267ACA">
            <w:pPr>
              <w:pStyle w:val="normal0"/>
              <w:numPr>
                <w:ilvl w:val="0"/>
                <w:numId w:val="16"/>
              </w:numPr>
              <w:contextualSpacing/>
              <w:rPr>
                <w:rFonts w:ascii="Muli" w:eastAsia="Muli" w:hAnsi="Muli" w:cs="Muli"/>
                <w:sz w:val="20"/>
                <w:szCs w:val="20"/>
              </w:rPr>
            </w:pPr>
            <w:r>
              <w:rPr>
                <w:rFonts w:ascii="Muli" w:eastAsia="Muli" w:hAnsi="Muli" w:cs="Muli"/>
                <w:sz w:val="20"/>
                <w:szCs w:val="20"/>
              </w:rPr>
              <w:t xml:space="preserve">Students investigate the phenomenon of animal behaviors that affect the success of reproduction by observing videos of different courtship rituals and analyzing data </w:t>
            </w:r>
            <w:r>
              <w:rPr>
                <w:rFonts w:ascii="Muli" w:eastAsia="Muli" w:hAnsi="Muli" w:cs="Muli"/>
                <w:b/>
                <w:color w:val="FF126D"/>
                <w:sz w:val="20"/>
                <w:szCs w:val="20"/>
              </w:rPr>
              <w:t>(DQ1L3–4 TE p. 24–39)</w:t>
            </w:r>
            <w:r>
              <w:rPr>
                <w:rFonts w:ascii="Muli" w:eastAsia="Muli" w:hAnsi="Muli" w:cs="Muli"/>
                <w:sz w:val="20"/>
                <w:szCs w:val="20"/>
              </w:rPr>
              <w:t>.</w:t>
            </w:r>
          </w:p>
          <w:p w14:paraId="679C6504" w14:textId="77777777" w:rsidR="00456479" w:rsidRDefault="00456479">
            <w:pPr>
              <w:pStyle w:val="normal0"/>
              <w:rPr>
                <w:rFonts w:ascii="Muli" w:eastAsia="Muli" w:hAnsi="Muli" w:cs="Muli"/>
                <w:sz w:val="20"/>
                <w:szCs w:val="20"/>
              </w:rPr>
            </w:pPr>
          </w:p>
          <w:p w14:paraId="75DC4974" w14:textId="77777777" w:rsidR="00456479" w:rsidRDefault="00456479">
            <w:pPr>
              <w:pStyle w:val="normal0"/>
              <w:rPr>
                <w:rFonts w:ascii="Muli" w:eastAsia="Muli" w:hAnsi="Muli" w:cs="Muli"/>
                <w:color w:val="FF0000"/>
                <w:sz w:val="20"/>
                <w:szCs w:val="20"/>
              </w:rPr>
            </w:pPr>
          </w:p>
        </w:tc>
        <w:tc>
          <w:tcPr>
            <w:tcW w:w="4800" w:type="dxa"/>
            <w:vMerge w:val="restart"/>
          </w:tcPr>
          <w:p w14:paraId="1EFAE2C6" w14:textId="77777777" w:rsidR="00456479" w:rsidRDefault="00456479">
            <w:pPr>
              <w:pStyle w:val="normal0"/>
              <w:ind w:right="383"/>
              <w:rPr>
                <w:rFonts w:ascii="Muli" w:eastAsia="Muli" w:hAnsi="Muli" w:cs="Muli"/>
                <w:sz w:val="20"/>
                <w:szCs w:val="20"/>
              </w:rPr>
            </w:pPr>
          </w:p>
          <w:p w14:paraId="19DA94AF" w14:textId="77777777" w:rsidR="00456479" w:rsidRDefault="00267ACA">
            <w:pPr>
              <w:pStyle w:val="normal0"/>
              <w:ind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239AB825" wp14:editId="01973A10">
                  <wp:extent cx="2824163" cy="1655544"/>
                  <wp:effectExtent l="12700" t="12700" r="12700" b="12700"/>
                  <wp:docPr id="7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
                          <a:srcRect/>
                          <a:stretch>
                            <a:fillRect/>
                          </a:stretch>
                        </pic:blipFill>
                        <pic:spPr>
                          <a:xfrm>
                            <a:off x="0" y="0"/>
                            <a:ext cx="2824163" cy="1655544"/>
                          </a:xfrm>
                          <a:prstGeom prst="rect">
                            <a:avLst/>
                          </a:prstGeom>
                          <a:ln w="12700">
                            <a:solidFill>
                              <a:srgbClr val="D9D9D9"/>
                            </a:solidFill>
                            <a:prstDash val="solid"/>
                          </a:ln>
                        </pic:spPr>
                      </pic:pic>
                    </a:graphicData>
                  </a:graphic>
                </wp:inline>
              </w:drawing>
            </w:r>
          </w:p>
          <w:p w14:paraId="7186AD60"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DQ1L3–4 TE p. 24–39</w:t>
            </w:r>
          </w:p>
        </w:tc>
      </w:tr>
      <w:tr w:rsidR="00456479" w14:paraId="0A244620" w14:textId="77777777">
        <w:trPr>
          <w:trHeight w:val="600"/>
        </w:trPr>
        <w:tc>
          <w:tcPr>
            <w:tcW w:w="9390" w:type="dxa"/>
            <w:vMerge/>
          </w:tcPr>
          <w:p w14:paraId="2784E484" w14:textId="77777777" w:rsidR="00456479" w:rsidRDefault="00456479">
            <w:pPr>
              <w:pStyle w:val="normal0"/>
              <w:rPr>
                <w:rFonts w:ascii="Muli" w:eastAsia="Muli" w:hAnsi="Muli" w:cs="Muli"/>
                <w:sz w:val="20"/>
                <w:szCs w:val="20"/>
              </w:rPr>
            </w:pPr>
          </w:p>
        </w:tc>
        <w:tc>
          <w:tcPr>
            <w:tcW w:w="4800" w:type="dxa"/>
            <w:vMerge/>
          </w:tcPr>
          <w:p w14:paraId="303F5ECA" w14:textId="77777777" w:rsidR="00456479" w:rsidRDefault="00456479">
            <w:pPr>
              <w:pStyle w:val="normal0"/>
              <w:ind w:right="383"/>
              <w:rPr>
                <w:rFonts w:ascii="Muli" w:eastAsia="Muli" w:hAnsi="Muli" w:cs="Muli"/>
                <w:sz w:val="20"/>
                <w:szCs w:val="20"/>
              </w:rPr>
            </w:pPr>
          </w:p>
        </w:tc>
      </w:tr>
      <w:tr w:rsidR="00456479" w14:paraId="4085E026" w14:textId="77777777">
        <w:trPr>
          <w:trHeight w:val="600"/>
        </w:trPr>
        <w:tc>
          <w:tcPr>
            <w:tcW w:w="9390" w:type="dxa"/>
            <w:vMerge/>
          </w:tcPr>
          <w:p w14:paraId="2CA2EBD4" w14:textId="77777777" w:rsidR="00456479" w:rsidRDefault="00456479">
            <w:pPr>
              <w:pStyle w:val="normal0"/>
              <w:rPr>
                <w:rFonts w:ascii="Muli" w:eastAsia="Muli" w:hAnsi="Muli" w:cs="Muli"/>
                <w:sz w:val="20"/>
                <w:szCs w:val="20"/>
              </w:rPr>
            </w:pPr>
          </w:p>
        </w:tc>
        <w:tc>
          <w:tcPr>
            <w:tcW w:w="4800" w:type="dxa"/>
            <w:vMerge/>
          </w:tcPr>
          <w:p w14:paraId="013DF252" w14:textId="77777777" w:rsidR="00456479" w:rsidRDefault="00456479">
            <w:pPr>
              <w:pStyle w:val="normal0"/>
              <w:rPr>
                <w:rFonts w:ascii="Muli" w:eastAsia="Muli" w:hAnsi="Muli" w:cs="Muli"/>
                <w:sz w:val="20"/>
                <w:szCs w:val="20"/>
              </w:rPr>
            </w:pPr>
          </w:p>
        </w:tc>
      </w:tr>
      <w:tr w:rsidR="00456479" w14:paraId="4AE9E8F4" w14:textId="77777777">
        <w:trPr>
          <w:trHeight w:val="600"/>
        </w:trPr>
        <w:tc>
          <w:tcPr>
            <w:tcW w:w="9390" w:type="dxa"/>
            <w:vMerge/>
          </w:tcPr>
          <w:p w14:paraId="6AF4D9A9" w14:textId="77777777" w:rsidR="00456479" w:rsidRDefault="00456479">
            <w:pPr>
              <w:pStyle w:val="normal0"/>
              <w:rPr>
                <w:rFonts w:ascii="Muli" w:eastAsia="Muli" w:hAnsi="Muli" w:cs="Muli"/>
                <w:sz w:val="20"/>
                <w:szCs w:val="20"/>
              </w:rPr>
            </w:pPr>
          </w:p>
        </w:tc>
        <w:tc>
          <w:tcPr>
            <w:tcW w:w="4800" w:type="dxa"/>
            <w:vMerge/>
          </w:tcPr>
          <w:p w14:paraId="4E4F151D" w14:textId="77777777" w:rsidR="00456479" w:rsidRDefault="00456479">
            <w:pPr>
              <w:pStyle w:val="normal0"/>
              <w:ind w:right="383"/>
              <w:rPr>
                <w:rFonts w:ascii="Muli" w:eastAsia="Muli" w:hAnsi="Muli" w:cs="Muli"/>
                <w:sz w:val="20"/>
                <w:szCs w:val="20"/>
              </w:rPr>
            </w:pPr>
          </w:p>
        </w:tc>
      </w:tr>
      <w:tr w:rsidR="00456479" w14:paraId="67DB96DF" w14:textId="77777777">
        <w:trPr>
          <w:trHeight w:val="295"/>
        </w:trPr>
        <w:tc>
          <w:tcPr>
            <w:tcW w:w="9390" w:type="dxa"/>
            <w:vMerge/>
          </w:tcPr>
          <w:p w14:paraId="0A9AB64E" w14:textId="77777777" w:rsidR="00456479" w:rsidRDefault="00456479">
            <w:pPr>
              <w:pStyle w:val="normal0"/>
              <w:rPr>
                <w:rFonts w:ascii="Muli" w:eastAsia="Muli" w:hAnsi="Muli" w:cs="Muli"/>
                <w:color w:val="FF0000"/>
                <w:sz w:val="20"/>
                <w:szCs w:val="20"/>
              </w:rPr>
            </w:pPr>
          </w:p>
        </w:tc>
        <w:tc>
          <w:tcPr>
            <w:tcW w:w="4800" w:type="dxa"/>
            <w:vMerge/>
          </w:tcPr>
          <w:p w14:paraId="6C5083C2" w14:textId="77777777" w:rsidR="00456479" w:rsidRDefault="00456479">
            <w:pPr>
              <w:pStyle w:val="normal0"/>
              <w:ind w:right="383"/>
              <w:rPr>
                <w:rFonts w:ascii="Muli" w:eastAsia="Muli" w:hAnsi="Muli" w:cs="Muli"/>
                <w:sz w:val="20"/>
                <w:szCs w:val="20"/>
              </w:rPr>
            </w:pPr>
          </w:p>
        </w:tc>
      </w:tr>
      <w:tr w:rsidR="00456479" w14:paraId="29016DF4" w14:textId="77777777">
        <w:trPr>
          <w:trHeight w:val="3180"/>
        </w:trPr>
        <w:tc>
          <w:tcPr>
            <w:tcW w:w="9390" w:type="dxa"/>
          </w:tcPr>
          <w:p w14:paraId="6E37CA57" w14:textId="77777777" w:rsidR="00456479" w:rsidRDefault="00267ACA">
            <w:pPr>
              <w:pStyle w:val="normal0"/>
              <w:numPr>
                <w:ilvl w:val="0"/>
                <w:numId w:val="22"/>
              </w:numPr>
              <w:contextualSpacing/>
              <w:rPr>
                <w:rFonts w:ascii="Muli" w:eastAsia="Muli" w:hAnsi="Muli" w:cs="Muli"/>
                <w:sz w:val="20"/>
                <w:szCs w:val="20"/>
              </w:rPr>
            </w:pPr>
            <w:r>
              <w:rPr>
                <w:rFonts w:ascii="Muli" w:eastAsia="Muli" w:hAnsi="Muli" w:cs="Muli"/>
                <w:sz w:val="20"/>
                <w:szCs w:val="20"/>
              </w:rPr>
              <w:lastRenderedPageBreak/>
              <w:t xml:space="preserve">Students read a text, dissect a flower, and watch a video to understand the phenomenon of sexual reproduction in plants </w:t>
            </w:r>
            <w:r>
              <w:rPr>
                <w:rFonts w:ascii="Muli" w:eastAsia="Muli" w:hAnsi="Muli" w:cs="Muli"/>
                <w:b/>
                <w:color w:val="FF126D"/>
                <w:sz w:val="20"/>
                <w:szCs w:val="20"/>
              </w:rPr>
              <w:t>(DQ2L1 TE pp. 96–103)</w:t>
            </w:r>
            <w:r>
              <w:rPr>
                <w:rFonts w:ascii="Muli" w:eastAsia="Muli" w:hAnsi="Muli" w:cs="Muli"/>
                <w:sz w:val="20"/>
                <w:szCs w:val="20"/>
              </w:rPr>
              <w:t>.</w:t>
            </w:r>
          </w:p>
        </w:tc>
        <w:tc>
          <w:tcPr>
            <w:tcW w:w="4800" w:type="dxa"/>
          </w:tcPr>
          <w:p w14:paraId="6D5A69EF"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219B2A64" wp14:editId="58B6091B">
                  <wp:extent cx="2928938" cy="1716963"/>
                  <wp:effectExtent l="12700" t="12700" r="12700" b="1270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928938" cy="1716963"/>
                          </a:xfrm>
                          <a:prstGeom prst="rect">
                            <a:avLst/>
                          </a:prstGeom>
                          <a:ln w="12700">
                            <a:solidFill>
                              <a:srgbClr val="CCCCCC"/>
                            </a:solidFill>
                            <a:prstDash val="solid"/>
                          </a:ln>
                        </pic:spPr>
                      </pic:pic>
                    </a:graphicData>
                  </a:graphic>
                </wp:inline>
              </w:drawing>
            </w:r>
          </w:p>
          <w:p w14:paraId="409ED941"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DQ2L1 TE pp. 96–103</w:t>
            </w:r>
          </w:p>
        </w:tc>
      </w:tr>
      <w:tr w:rsidR="00456479" w14:paraId="5A3158C8" w14:textId="77777777">
        <w:trPr>
          <w:trHeight w:val="1740"/>
        </w:trPr>
        <w:tc>
          <w:tcPr>
            <w:tcW w:w="9390" w:type="dxa"/>
          </w:tcPr>
          <w:p w14:paraId="36E3ED3A" w14:textId="77777777" w:rsidR="00456479" w:rsidRDefault="00267ACA">
            <w:pPr>
              <w:pStyle w:val="normal0"/>
              <w:numPr>
                <w:ilvl w:val="0"/>
                <w:numId w:val="11"/>
              </w:numPr>
              <w:contextualSpacing/>
              <w:rPr>
                <w:rFonts w:ascii="Muli" w:eastAsia="Muli" w:hAnsi="Muli" w:cs="Muli"/>
                <w:sz w:val="20"/>
                <w:szCs w:val="20"/>
              </w:rPr>
            </w:pPr>
            <w:r>
              <w:rPr>
                <w:rFonts w:ascii="Muli" w:eastAsia="Muli" w:hAnsi="Muli" w:cs="Muli"/>
                <w:sz w:val="20"/>
                <w:szCs w:val="20"/>
              </w:rPr>
              <w:t>The class use their knowledge of genetics to answer part of the Module Phenomenon (</w:t>
            </w:r>
            <w:r>
              <w:rPr>
                <w:rFonts w:ascii="Muli" w:eastAsia="Muli" w:hAnsi="Muli" w:cs="Muli"/>
                <w:b/>
                <w:color w:val="FF126D"/>
                <w:sz w:val="20"/>
                <w:szCs w:val="20"/>
              </w:rPr>
              <w:t>DQ2L3 T</w:t>
            </w:r>
            <w:r>
              <w:rPr>
                <w:rFonts w:ascii="Muli" w:eastAsia="Muli" w:hAnsi="Muli" w:cs="Muli"/>
                <w:b/>
                <w:color w:val="FF126D"/>
                <w:sz w:val="20"/>
                <w:szCs w:val="20"/>
              </w:rPr>
              <w:t>E p. 119</w:t>
            </w:r>
            <w:r>
              <w:rPr>
                <w:rFonts w:ascii="Muli" w:eastAsia="Muli" w:hAnsi="Muli" w:cs="Muli"/>
                <w:sz w:val="20"/>
                <w:szCs w:val="20"/>
              </w:rPr>
              <w:t xml:space="preserve">, DQ2L4 TE p. 128). </w:t>
            </w:r>
          </w:p>
        </w:tc>
        <w:tc>
          <w:tcPr>
            <w:tcW w:w="4800" w:type="dxa"/>
          </w:tcPr>
          <w:p w14:paraId="61109DC3"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5A8840CA" wp14:editId="382A5DCD">
                  <wp:extent cx="2949893" cy="776288"/>
                  <wp:effectExtent l="12700" t="12700" r="12700" b="1270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949893" cy="776288"/>
                          </a:xfrm>
                          <a:prstGeom prst="rect">
                            <a:avLst/>
                          </a:prstGeom>
                          <a:ln w="12700">
                            <a:solidFill>
                              <a:srgbClr val="D9D9D9"/>
                            </a:solidFill>
                            <a:prstDash val="solid"/>
                          </a:ln>
                        </pic:spPr>
                      </pic:pic>
                    </a:graphicData>
                  </a:graphic>
                </wp:inline>
              </w:drawing>
            </w:r>
          </w:p>
          <w:p w14:paraId="55813DEC"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DQ2L3 TE p. 119</w:t>
            </w:r>
          </w:p>
        </w:tc>
      </w:tr>
      <w:tr w:rsidR="00456479" w14:paraId="1307CD56" w14:textId="77777777">
        <w:trPr>
          <w:trHeight w:val="1420"/>
        </w:trPr>
        <w:tc>
          <w:tcPr>
            <w:tcW w:w="9390" w:type="dxa"/>
          </w:tcPr>
          <w:p w14:paraId="3227C686" w14:textId="77777777" w:rsidR="00456479" w:rsidRDefault="00267ACA">
            <w:pPr>
              <w:pStyle w:val="normal0"/>
              <w:numPr>
                <w:ilvl w:val="0"/>
                <w:numId w:val="5"/>
              </w:numPr>
              <w:rPr>
                <w:rFonts w:ascii="Muli" w:eastAsia="Muli" w:hAnsi="Muli" w:cs="Muli"/>
                <w:sz w:val="20"/>
                <w:szCs w:val="20"/>
              </w:rPr>
            </w:pPr>
            <w:r>
              <w:rPr>
                <w:rFonts w:ascii="Muli" w:eastAsia="Muli" w:hAnsi="Muli" w:cs="Muli"/>
                <w:sz w:val="20"/>
                <w:szCs w:val="20"/>
              </w:rPr>
              <w:t xml:space="preserve">Students use videos and visuals to learn about the phenomenon of asexual reproduction, linking this to the Driving Question </w:t>
            </w:r>
            <w:r>
              <w:rPr>
                <w:rFonts w:ascii="Muli" w:eastAsia="Muli" w:hAnsi="Muli" w:cs="Muli"/>
                <w:b/>
                <w:color w:val="FF126D"/>
                <w:sz w:val="20"/>
                <w:szCs w:val="20"/>
              </w:rPr>
              <w:t>(DQ2L9 TE pp. 162–169)</w:t>
            </w:r>
            <w:r>
              <w:rPr>
                <w:rFonts w:ascii="Muli" w:eastAsia="Muli" w:hAnsi="Muli" w:cs="Muli"/>
                <w:sz w:val="20"/>
                <w:szCs w:val="20"/>
              </w:rPr>
              <w:t>.</w:t>
            </w:r>
          </w:p>
        </w:tc>
        <w:tc>
          <w:tcPr>
            <w:tcW w:w="4800" w:type="dxa"/>
          </w:tcPr>
          <w:p w14:paraId="3AF7E2AA"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4C5D41D6" wp14:editId="30B389B5">
                  <wp:extent cx="2843213" cy="2664955"/>
                  <wp:effectExtent l="12700" t="12700" r="12700" b="12700"/>
                  <wp:docPr id="6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
                          <a:srcRect/>
                          <a:stretch>
                            <a:fillRect/>
                          </a:stretch>
                        </pic:blipFill>
                        <pic:spPr>
                          <a:xfrm>
                            <a:off x="0" y="0"/>
                            <a:ext cx="2843213" cy="2664955"/>
                          </a:xfrm>
                          <a:prstGeom prst="rect">
                            <a:avLst/>
                          </a:prstGeom>
                          <a:ln w="12700">
                            <a:solidFill>
                              <a:srgbClr val="CCCCCC"/>
                            </a:solidFill>
                            <a:prstDash val="solid"/>
                          </a:ln>
                        </pic:spPr>
                      </pic:pic>
                    </a:graphicData>
                  </a:graphic>
                </wp:inline>
              </w:drawing>
            </w:r>
          </w:p>
          <w:p w14:paraId="52BF6162"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DQ2L9 TE pp. 162–169</w:t>
            </w:r>
          </w:p>
        </w:tc>
      </w:tr>
      <w:tr w:rsidR="00456479" w14:paraId="4AF22DE6" w14:textId="77777777">
        <w:trPr>
          <w:trHeight w:val="6720"/>
        </w:trPr>
        <w:tc>
          <w:tcPr>
            <w:tcW w:w="9390" w:type="dxa"/>
          </w:tcPr>
          <w:p w14:paraId="2D5D22D3" w14:textId="77777777" w:rsidR="00456479" w:rsidRDefault="00267ACA">
            <w:pPr>
              <w:pStyle w:val="normal0"/>
              <w:numPr>
                <w:ilvl w:val="0"/>
                <w:numId w:val="23"/>
              </w:numPr>
              <w:contextualSpacing/>
              <w:rPr>
                <w:rFonts w:ascii="Muli" w:eastAsia="Muli" w:hAnsi="Muli" w:cs="Muli"/>
                <w:sz w:val="20"/>
                <w:szCs w:val="20"/>
              </w:rPr>
            </w:pPr>
            <w:r>
              <w:rPr>
                <w:rFonts w:ascii="Muli" w:eastAsia="Muli" w:hAnsi="Muli" w:cs="Muli"/>
                <w:sz w:val="20"/>
                <w:szCs w:val="20"/>
              </w:rPr>
              <w:lastRenderedPageBreak/>
              <w:t xml:space="preserve">Students consider the phenomenon of environmental factors affecting the growth of an organism, analyzing a study about Atlantic salmon </w:t>
            </w:r>
            <w:r>
              <w:rPr>
                <w:rFonts w:ascii="Muli" w:eastAsia="Muli" w:hAnsi="Muli" w:cs="Muli"/>
                <w:b/>
                <w:color w:val="FF126D"/>
                <w:sz w:val="20"/>
                <w:szCs w:val="20"/>
              </w:rPr>
              <w:t>(DQ3L1 TE pp. 193–194)</w:t>
            </w:r>
            <w:r>
              <w:rPr>
                <w:rFonts w:ascii="Muli" w:eastAsia="Muli" w:hAnsi="Muli" w:cs="Muli"/>
                <w:sz w:val="20"/>
                <w:szCs w:val="20"/>
              </w:rPr>
              <w:t>.</w:t>
            </w:r>
          </w:p>
        </w:tc>
        <w:tc>
          <w:tcPr>
            <w:tcW w:w="4800" w:type="dxa"/>
          </w:tcPr>
          <w:p w14:paraId="690DD689"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72B6ABDC" wp14:editId="64EBFF38">
                  <wp:extent cx="2843213" cy="4159329"/>
                  <wp:effectExtent l="12700" t="12700" r="12700" b="12700"/>
                  <wp:docPr id="4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a:srcRect/>
                          <a:stretch>
                            <a:fillRect/>
                          </a:stretch>
                        </pic:blipFill>
                        <pic:spPr>
                          <a:xfrm>
                            <a:off x="0" y="0"/>
                            <a:ext cx="2843213" cy="4159329"/>
                          </a:xfrm>
                          <a:prstGeom prst="rect">
                            <a:avLst/>
                          </a:prstGeom>
                          <a:ln w="12700">
                            <a:solidFill>
                              <a:srgbClr val="CCCCCC"/>
                            </a:solidFill>
                            <a:prstDash val="solid"/>
                          </a:ln>
                        </pic:spPr>
                      </pic:pic>
                    </a:graphicData>
                  </a:graphic>
                </wp:inline>
              </w:drawing>
            </w:r>
          </w:p>
          <w:p w14:paraId="52EC3676"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DQ3L1 TE pp. 193–194</w:t>
            </w:r>
          </w:p>
        </w:tc>
      </w:tr>
      <w:tr w:rsidR="00456479" w14:paraId="63097EE4" w14:textId="77777777">
        <w:trPr>
          <w:trHeight w:val="6140"/>
        </w:trPr>
        <w:tc>
          <w:tcPr>
            <w:tcW w:w="9390" w:type="dxa"/>
          </w:tcPr>
          <w:p w14:paraId="47D7B303" w14:textId="77777777" w:rsidR="00456479" w:rsidRDefault="00267ACA">
            <w:pPr>
              <w:pStyle w:val="normal0"/>
              <w:numPr>
                <w:ilvl w:val="0"/>
                <w:numId w:val="12"/>
              </w:numPr>
              <w:contextualSpacing/>
              <w:rPr>
                <w:rFonts w:ascii="Muli" w:eastAsia="Muli" w:hAnsi="Muli" w:cs="Muli"/>
                <w:sz w:val="20"/>
                <w:szCs w:val="20"/>
              </w:rPr>
            </w:pPr>
            <w:r>
              <w:rPr>
                <w:rFonts w:ascii="Muli" w:eastAsia="Muli" w:hAnsi="Muli" w:cs="Muli"/>
                <w:sz w:val="20"/>
                <w:szCs w:val="20"/>
              </w:rPr>
              <w:lastRenderedPageBreak/>
              <w:t>Students devise solutions to the problem of protecting endangered species, using their learning from the module (</w:t>
            </w:r>
            <w:r>
              <w:rPr>
                <w:rFonts w:ascii="Muli" w:eastAsia="Muli" w:hAnsi="Muli" w:cs="Muli"/>
                <w:b/>
                <w:color w:val="FF126D"/>
                <w:sz w:val="20"/>
                <w:szCs w:val="20"/>
              </w:rPr>
              <w:t>DQ4L3 TE p. 270</w:t>
            </w:r>
            <w:r>
              <w:rPr>
                <w:rFonts w:ascii="Muli" w:eastAsia="Muli" w:hAnsi="Muli" w:cs="Muli"/>
                <w:sz w:val="20"/>
                <w:szCs w:val="20"/>
              </w:rPr>
              <w:t xml:space="preserve">). </w:t>
            </w:r>
          </w:p>
        </w:tc>
        <w:tc>
          <w:tcPr>
            <w:tcW w:w="4800" w:type="dxa"/>
          </w:tcPr>
          <w:p w14:paraId="38FB477E" w14:textId="77777777" w:rsidR="00456479" w:rsidRDefault="00267ACA">
            <w:pPr>
              <w:pStyle w:val="normal0"/>
              <w:ind w:right="383"/>
              <w:rPr>
                <w:rFonts w:ascii="Muli" w:eastAsia="Muli" w:hAnsi="Muli" w:cs="Muli"/>
                <w:sz w:val="20"/>
                <w:szCs w:val="20"/>
              </w:rPr>
            </w:pPr>
            <w:r>
              <w:rPr>
                <w:rFonts w:ascii="Muli" w:eastAsia="Muli" w:hAnsi="Muli" w:cs="Muli"/>
                <w:noProof/>
                <w:sz w:val="20"/>
                <w:szCs w:val="20"/>
              </w:rPr>
              <w:drawing>
                <wp:inline distT="114300" distB="114300" distL="114300" distR="114300" wp14:anchorId="4CAB018D" wp14:editId="576761E0">
                  <wp:extent cx="2938463" cy="3564843"/>
                  <wp:effectExtent l="12700" t="12700" r="12700" b="12700"/>
                  <wp:docPr id="4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4"/>
                          <a:srcRect/>
                          <a:stretch>
                            <a:fillRect/>
                          </a:stretch>
                        </pic:blipFill>
                        <pic:spPr>
                          <a:xfrm>
                            <a:off x="0" y="0"/>
                            <a:ext cx="2938463" cy="3564843"/>
                          </a:xfrm>
                          <a:prstGeom prst="rect">
                            <a:avLst/>
                          </a:prstGeom>
                          <a:ln w="12700">
                            <a:solidFill>
                              <a:srgbClr val="D9D9D9"/>
                            </a:solidFill>
                            <a:prstDash val="solid"/>
                          </a:ln>
                        </pic:spPr>
                      </pic:pic>
                    </a:graphicData>
                  </a:graphic>
                </wp:inline>
              </w:drawing>
            </w:r>
          </w:p>
          <w:p w14:paraId="1AF2789A"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DQ4L3 TE p. 270</w:t>
            </w:r>
          </w:p>
        </w:tc>
      </w:tr>
      <w:tr w:rsidR="00456479" w14:paraId="37200DF2" w14:textId="77777777">
        <w:trPr>
          <w:trHeight w:val="600"/>
        </w:trPr>
        <w:tc>
          <w:tcPr>
            <w:tcW w:w="14190" w:type="dxa"/>
            <w:gridSpan w:val="2"/>
            <w:shd w:val="clear" w:color="auto" w:fill="D9D9D9"/>
          </w:tcPr>
          <w:p w14:paraId="7E55CD96" w14:textId="77777777" w:rsidR="00456479" w:rsidRDefault="00267ACA">
            <w:pPr>
              <w:pStyle w:val="normal0"/>
              <w:ind w:left="180" w:right="105"/>
              <w:rPr>
                <w:rFonts w:ascii="Muli" w:eastAsia="Muli" w:hAnsi="Muli" w:cs="Muli"/>
                <w:b/>
                <w:color w:val="2F5496"/>
                <w:sz w:val="20"/>
                <w:szCs w:val="20"/>
              </w:rPr>
            </w:pPr>
            <w:r>
              <w:rPr>
                <w:rFonts w:ascii="Muli" w:eastAsia="Muli" w:hAnsi="Muli" w:cs="Muli"/>
                <w:b/>
                <w:color w:val="2F5496"/>
                <w:sz w:val="20"/>
                <w:szCs w:val="20"/>
              </w:rPr>
              <w:t>SW2. Three-Dimensional Conceptual Framework.</w:t>
            </w:r>
          </w:p>
          <w:p w14:paraId="3CBCEEC0" w14:textId="77777777" w:rsidR="00456479" w:rsidRDefault="00267ACA">
            <w:pPr>
              <w:pStyle w:val="normal0"/>
              <w:spacing w:before="1"/>
              <w:ind w:left="180" w:right="157"/>
              <w:rPr>
                <w:rFonts w:ascii="Muli" w:eastAsia="Muli" w:hAnsi="Muli" w:cs="Muli"/>
                <w:b/>
                <w:sz w:val="20"/>
                <w:szCs w:val="20"/>
              </w:rPr>
            </w:pPr>
            <w:r>
              <w:rPr>
                <w:rFonts w:ascii="Muli" w:eastAsia="Muli" w:hAnsi="Muli" w:cs="Muli"/>
                <w:sz w:val="20"/>
                <w:szCs w:val="20"/>
              </w:rPr>
              <w:t>Students’ experiences consistently support them to use their prior knowledge to negotiate new understandings and abilities and apply their understandings in a variety of ways.</w:t>
            </w:r>
          </w:p>
        </w:tc>
      </w:tr>
      <w:tr w:rsidR="00456479" w14:paraId="0DF829B7" w14:textId="77777777" w:rsidTr="00ED15A9">
        <w:trPr>
          <w:trHeight w:val="982"/>
        </w:trPr>
        <w:tc>
          <w:tcPr>
            <w:tcW w:w="9390" w:type="dxa"/>
          </w:tcPr>
          <w:p w14:paraId="63C3E0B7" w14:textId="77777777" w:rsidR="00456479" w:rsidRDefault="00456479">
            <w:pPr>
              <w:pStyle w:val="normal0"/>
              <w:spacing w:before="1"/>
              <w:ind w:left="180" w:right="157"/>
              <w:rPr>
                <w:rFonts w:ascii="Muli" w:eastAsia="Muli" w:hAnsi="Muli" w:cs="Muli"/>
                <w:sz w:val="20"/>
                <w:szCs w:val="20"/>
              </w:rPr>
            </w:pPr>
          </w:p>
          <w:p w14:paraId="6C90CA95" w14:textId="77777777" w:rsidR="00456479" w:rsidRDefault="00267ACA">
            <w:pPr>
              <w:pStyle w:val="normal0"/>
              <w:spacing w:before="1"/>
              <w:ind w:left="180" w:right="210"/>
              <w:rPr>
                <w:rFonts w:ascii="Muli" w:eastAsia="Muli" w:hAnsi="Muli" w:cs="Muli"/>
                <w:sz w:val="20"/>
                <w:szCs w:val="20"/>
              </w:rPr>
            </w:pPr>
            <w:r>
              <w:rPr>
                <w:rFonts w:ascii="Muli" w:eastAsia="Muli" w:hAnsi="Muli" w:cs="Muli"/>
                <w:sz w:val="20"/>
                <w:szCs w:val="20"/>
              </w:rPr>
              <w:t xml:space="preserve">In DQ1, students are introduced to the concept of ecology, and activate their </w:t>
            </w:r>
            <w:r>
              <w:rPr>
                <w:rFonts w:ascii="Muli" w:eastAsia="Muli" w:hAnsi="Muli" w:cs="Muli"/>
                <w:sz w:val="20"/>
                <w:szCs w:val="20"/>
              </w:rPr>
              <w:t xml:space="preserve">prior knowledge of the relationship between living things and their environment with a read-aloud. They obtain information from texts and videos about animal courtship rituals (SEP-8, LS1.B, CCC-1, CCC-2), analyzing and interpreting data (SEP-4) and using </w:t>
            </w:r>
            <w:r>
              <w:rPr>
                <w:rFonts w:ascii="Muli" w:eastAsia="Muli" w:hAnsi="Muli" w:cs="Muli"/>
                <w:sz w:val="20"/>
                <w:szCs w:val="20"/>
              </w:rPr>
              <w:t>mathematics and computational thinking (SEP-5). They consider the question “How do animals help their offspring survive?” (LS1.B, CCC-2) and, over three lessons, develop an answer using claim, evidence, and reasoning through video observations, analysis of</w:t>
            </w:r>
            <w:r>
              <w:rPr>
                <w:rFonts w:ascii="Muli" w:eastAsia="Muli" w:hAnsi="Muli" w:cs="Muli"/>
                <w:sz w:val="20"/>
                <w:szCs w:val="20"/>
              </w:rPr>
              <w:t xml:space="preserve"> scientific data, and discussions (SEP-4, SEP-7, SEP-8). They make claims about plants’ characteristics that affect successful reproduction, and use texts and videos to investigate seed dispersal. At the end of DQ1, they write a scientific argument that an</w:t>
            </w:r>
            <w:r>
              <w:rPr>
                <w:rFonts w:ascii="Muli" w:eastAsia="Muli" w:hAnsi="Muli" w:cs="Muli"/>
                <w:sz w:val="20"/>
                <w:szCs w:val="20"/>
              </w:rPr>
              <w:t>swers the Driving Question (LS1.B, SEP-7, SEP-8).</w:t>
            </w:r>
          </w:p>
          <w:p w14:paraId="09B8AADF" w14:textId="77777777" w:rsidR="00456479" w:rsidRDefault="00456479">
            <w:pPr>
              <w:pStyle w:val="normal0"/>
              <w:ind w:left="180" w:right="210"/>
              <w:rPr>
                <w:rFonts w:ascii="Muli" w:eastAsia="Muli" w:hAnsi="Muli" w:cs="Muli"/>
                <w:sz w:val="20"/>
                <w:szCs w:val="20"/>
              </w:rPr>
            </w:pPr>
          </w:p>
          <w:p w14:paraId="0C7FE07E" w14:textId="77777777" w:rsidR="00456479" w:rsidRDefault="00267ACA">
            <w:pPr>
              <w:pStyle w:val="normal0"/>
              <w:ind w:left="180" w:right="210"/>
              <w:rPr>
                <w:rFonts w:ascii="Muli" w:eastAsia="Muli" w:hAnsi="Muli" w:cs="Muli"/>
                <w:sz w:val="20"/>
                <w:szCs w:val="20"/>
              </w:rPr>
            </w:pPr>
            <w:r>
              <w:rPr>
                <w:rFonts w:ascii="Muli" w:eastAsia="Muli" w:hAnsi="Muli" w:cs="Muli"/>
                <w:sz w:val="20"/>
                <w:szCs w:val="20"/>
              </w:rPr>
              <w:t>In DQ2, students move onto the topic of reproduction itself, using a text, video, visual, and hands-on investigation to identify the parts of a flower (CCC-6) and a text and video to learn about sexual rep</w:t>
            </w:r>
            <w:r>
              <w:rPr>
                <w:rFonts w:ascii="Muli" w:eastAsia="Muli" w:hAnsi="Muli" w:cs="Muli"/>
                <w:sz w:val="20"/>
                <w:szCs w:val="20"/>
              </w:rPr>
              <w:t>roduction in animals. They question why offspring sometimes look different to their parents (SEP-1) and develop visual and physical genetic models to demonstrate how traits are passed from both plant and animal parents to offspring (LS3.A, SEP-2, CCC-2). A</w:t>
            </w:r>
            <w:r>
              <w:rPr>
                <w:rFonts w:ascii="Muli" w:eastAsia="Muli" w:hAnsi="Muli" w:cs="Muli"/>
                <w:sz w:val="20"/>
                <w:szCs w:val="20"/>
              </w:rPr>
              <w:t>fter showing how variation results from sexual reproduction (LS3.B), students observe videos and create models of asexual reproduction. They complete graphic organizers to compare asexual and sexual reproduction (LS1.B, LS3.A, LS3.B, SEP-7, CCC-2) and rese</w:t>
            </w:r>
            <w:r>
              <w:rPr>
                <w:rFonts w:ascii="Muli" w:eastAsia="Muli" w:hAnsi="Muli" w:cs="Muli"/>
                <w:sz w:val="20"/>
                <w:szCs w:val="20"/>
              </w:rPr>
              <w:t>arch the reproductive strategies of their chosen endangered species (SEP-8, CCC-6).</w:t>
            </w:r>
          </w:p>
          <w:p w14:paraId="20D3ED16" w14:textId="77777777" w:rsidR="00456479" w:rsidRDefault="00456479">
            <w:pPr>
              <w:pStyle w:val="normal0"/>
              <w:ind w:left="180" w:right="210"/>
              <w:rPr>
                <w:rFonts w:ascii="Muli" w:eastAsia="Muli" w:hAnsi="Muli" w:cs="Muli"/>
                <w:sz w:val="20"/>
                <w:szCs w:val="20"/>
              </w:rPr>
            </w:pPr>
          </w:p>
          <w:p w14:paraId="7D3B1804" w14:textId="77777777" w:rsidR="00456479" w:rsidRDefault="00267ACA">
            <w:pPr>
              <w:pStyle w:val="normal0"/>
              <w:ind w:left="180" w:right="210"/>
              <w:rPr>
                <w:rFonts w:ascii="Muli" w:eastAsia="Muli" w:hAnsi="Muli" w:cs="Muli"/>
                <w:sz w:val="20"/>
                <w:szCs w:val="20"/>
              </w:rPr>
            </w:pPr>
            <w:r>
              <w:rPr>
                <w:rFonts w:ascii="Muli" w:eastAsia="Muli" w:hAnsi="Muli" w:cs="Muli"/>
                <w:sz w:val="20"/>
                <w:szCs w:val="20"/>
              </w:rPr>
              <w:t>In DQ3, students consider patterns (CCC-1), cause and effect (CCC-2), and scale, proportion, and quantity (CCC-3) as they analyze several scientific studies (SEP-4, SEP-5)</w:t>
            </w:r>
            <w:r>
              <w:rPr>
                <w:rFonts w:ascii="Muli" w:eastAsia="Muli" w:hAnsi="Muli" w:cs="Muli"/>
                <w:sz w:val="20"/>
                <w:szCs w:val="20"/>
              </w:rPr>
              <w:t xml:space="preserve"> to determine how environmental and genetic factors influence the growth of an organism (LS1.B). </w:t>
            </w:r>
          </w:p>
          <w:p w14:paraId="5F15460A" w14:textId="77777777" w:rsidR="00456479" w:rsidRDefault="00456479">
            <w:pPr>
              <w:pStyle w:val="normal0"/>
              <w:ind w:left="180" w:right="210"/>
              <w:rPr>
                <w:rFonts w:ascii="Muli" w:eastAsia="Muli" w:hAnsi="Muli" w:cs="Muli"/>
                <w:sz w:val="20"/>
                <w:szCs w:val="20"/>
              </w:rPr>
            </w:pPr>
          </w:p>
          <w:p w14:paraId="4E2CDFC0" w14:textId="77777777" w:rsidR="00456479" w:rsidRDefault="00267ACA">
            <w:pPr>
              <w:pStyle w:val="normal0"/>
              <w:ind w:left="180" w:right="210"/>
              <w:rPr>
                <w:rFonts w:ascii="Muli" w:eastAsia="Muli" w:hAnsi="Muli" w:cs="Muli"/>
                <w:sz w:val="20"/>
                <w:szCs w:val="20"/>
              </w:rPr>
            </w:pPr>
            <w:r>
              <w:rPr>
                <w:rFonts w:ascii="Muli" w:eastAsia="Muli" w:hAnsi="Muli" w:cs="Muli"/>
                <w:sz w:val="20"/>
                <w:szCs w:val="20"/>
              </w:rPr>
              <w:t>In DQ4, students consider the question: How do we protect endangered or threatened species? They observe videos about conservation efforts and evaluate conse</w:t>
            </w:r>
            <w:r>
              <w:rPr>
                <w:rFonts w:ascii="Muli" w:eastAsia="Muli" w:hAnsi="Muli" w:cs="Muli"/>
                <w:sz w:val="20"/>
                <w:szCs w:val="20"/>
              </w:rPr>
              <w:t>rvation plans. They research their chosen endangered species and devise conservation plans to improve the growth and reproduction of members in the species, considering how genetics might be affected (SEP-1, SEP-6, SEP-7, SEP-8, CCC-2, LS1.B, ETS1.A). Stud</w:t>
            </w:r>
            <w:r>
              <w:rPr>
                <w:rFonts w:ascii="Muli" w:eastAsia="Muli" w:hAnsi="Muli" w:cs="Muli"/>
                <w:sz w:val="20"/>
                <w:szCs w:val="20"/>
              </w:rPr>
              <w:t>ents close the module with a ‘World Conservation Symposium,’ working with teammates to evaluate their individual plans and create a collaborative conservation plan (ETS1.B, SEP-6, SEP-8).</w:t>
            </w:r>
          </w:p>
          <w:p w14:paraId="2A9094BB" w14:textId="77777777" w:rsidR="00456479" w:rsidRDefault="00456479">
            <w:pPr>
              <w:pStyle w:val="normal0"/>
              <w:ind w:left="180" w:right="210"/>
              <w:rPr>
                <w:rFonts w:ascii="Muli" w:eastAsia="Muli" w:hAnsi="Muli" w:cs="Muli"/>
                <w:sz w:val="20"/>
                <w:szCs w:val="20"/>
                <w:shd w:val="clear" w:color="auto" w:fill="F4CCCC"/>
              </w:rPr>
            </w:pPr>
          </w:p>
          <w:p w14:paraId="07A68475" w14:textId="77777777" w:rsidR="00456479" w:rsidRDefault="00267ACA">
            <w:pPr>
              <w:pStyle w:val="normal0"/>
              <w:ind w:left="180" w:right="210"/>
              <w:rPr>
                <w:rFonts w:ascii="Muli" w:eastAsia="Muli" w:hAnsi="Muli" w:cs="Muli"/>
                <w:b/>
                <w:color w:val="FF126D"/>
                <w:sz w:val="20"/>
                <w:szCs w:val="20"/>
              </w:rPr>
            </w:pPr>
            <w:r>
              <w:rPr>
                <w:rFonts w:ascii="Muli" w:eastAsia="Muli" w:hAnsi="Muli" w:cs="Muli"/>
                <w:sz w:val="20"/>
                <w:szCs w:val="20"/>
              </w:rPr>
              <w:t>The SEPs and CCCs that the students are using in each learning acti</w:t>
            </w:r>
            <w:r>
              <w:rPr>
                <w:rFonts w:ascii="Muli" w:eastAsia="Muli" w:hAnsi="Muli" w:cs="Muli"/>
                <w:sz w:val="20"/>
                <w:szCs w:val="20"/>
              </w:rPr>
              <w:t xml:space="preserve">vity are labeled at point </w:t>
            </w:r>
            <w:r w:rsidR="00ED15A9">
              <w:rPr>
                <w:rFonts w:ascii="Muli" w:eastAsia="Muli" w:hAnsi="Muli" w:cs="Muli"/>
                <w:sz w:val="20"/>
                <w:szCs w:val="20"/>
              </w:rPr>
              <w:lastRenderedPageBreak/>
              <w:t>of use in the student e</w:t>
            </w:r>
            <w:r>
              <w:rPr>
                <w:rFonts w:ascii="Muli" w:eastAsia="Muli" w:hAnsi="Muli" w:cs="Muli"/>
                <w:sz w:val="20"/>
                <w:szCs w:val="20"/>
              </w:rPr>
              <w:t xml:space="preserve">dition (Twig Book) in grade-appropriate language. </w:t>
            </w:r>
            <w:r>
              <w:rPr>
                <w:rFonts w:ascii="Muli" w:eastAsia="Muli" w:hAnsi="Muli" w:cs="Muli"/>
                <w:b/>
                <w:color w:val="FF126D"/>
                <w:sz w:val="20"/>
                <w:szCs w:val="20"/>
              </w:rPr>
              <w:t>(DQ1L1 TB p. 4)</w:t>
            </w:r>
          </w:p>
        </w:tc>
        <w:tc>
          <w:tcPr>
            <w:tcW w:w="4800" w:type="dxa"/>
          </w:tcPr>
          <w:p w14:paraId="1A342AAA" w14:textId="77777777" w:rsidR="00456479" w:rsidRDefault="00267ACA">
            <w:pPr>
              <w:pStyle w:val="normal0"/>
              <w:ind w:right="383"/>
              <w:rPr>
                <w:rFonts w:ascii="Muli" w:eastAsia="Muli" w:hAnsi="Muli" w:cs="Muli"/>
                <w:sz w:val="20"/>
                <w:szCs w:val="20"/>
              </w:rPr>
            </w:pPr>
            <w:r>
              <w:rPr>
                <w:rFonts w:ascii="Muli" w:eastAsia="Muli" w:hAnsi="Muli" w:cs="Muli"/>
                <w:noProof/>
                <w:sz w:val="20"/>
                <w:szCs w:val="20"/>
              </w:rPr>
              <w:lastRenderedPageBreak/>
              <w:drawing>
                <wp:inline distT="114300" distB="114300" distL="114300" distR="114300" wp14:anchorId="3422BE8B" wp14:editId="33F4B11D">
                  <wp:extent cx="2957513" cy="2373427"/>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2957513" cy="2373427"/>
                          </a:xfrm>
                          <a:prstGeom prst="rect">
                            <a:avLst/>
                          </a:prstGeom>
                          <a:ln/>
                        </pic:spPr>
                      </pic:pic>
                    </a:graphicData>
                  </a:graphic>
                </wp:inline>
              </w:drawing>
            </w:r>
          </w:p>
          <w:p w14:paraId="5E556B09" w14:textId="77777777" w:rsidR="00456479" w:rsidRDefault="00267ACA">
            <w:pPr>
              <w:pStyle w:val="normal0"/>
              <w:ind w:left="90" w:right="210"/>
              <w:rPr>
                <w:rFonts w:ascii="Muli" w:eastAsia="Muli" w:hAnsi="Muli" w:cs="Muli"/>
                <w:b/>
                <w:color w:val="FF126D"/>
                <w:sz w:val="20"/>
                <w:szCs w:val="20"/>
              </w:rPr>
            </w:pPr>
            <w:r>
              <w:rPr>
                <w:rFonts w:ascii="Muli" w:eastAsia="Muli" w:hAnsi="Muli" w:cs="Muli"/>
                <w:b/>
                <w:color w:val="FF126D"/>
                <w:sz w:val="20"/>
                <w:szCs w:val="20"/>
              </w:rPr>
              <w:t>DQ1L1 TB p. 4</w:t>
            </w:r>
          </w:p>
        </w:tc>
      </w:tr>
      <w:tr w:rsidR="00456479" w14:paraId="7A2D9C74" w14:textId="77777777">
        <w:trPr>
          <w:trHeight w:val="6420"/>
        </w:trPr>
        <w:tc>
          <w:tcPr>
            <w:tcW w:w="9390" w:type="dxa"/>
          </w:tcPr>
          <w:p w14:paraId="0465051C" w14:textId="77777777" w:rsidR="00456479" w:rsidRDefault="00267ACA">
            <w:pPr>
              <w:pStyle w:val="normal0"/>
              <w:ind w:left="180"/>
              <w:rPr>
                <w:rFonts w:ascii="Muli" w:eastAsia="Muli" w:hAnsi="Muli" w:cs="Muli"/>
                <w:b/>
                <w:color w:val="FF126D"/>
                <w:sz w:val="20"/>
                <w:szCs w:val="20"/>
              </w:rPr>
            </w:pPr>
            <w:r>
              <w:rPr>
                <w:rFonts w:ascii="Muli" w:eastAsia="Muli" w:hAnsi="Muli" w:cs="Muli"/>
                <w:b/>
                <w:color w:val="FF126D"/>
                <w:sz w:val="20"/>
                <w:szCs w:val="20"/>
              </w:rPr>
              <w:lastRenderedPageBreak/>
              <w:t>Evidence</w:t>
            </w:r>
          </w:p>
          <w:p w14:paraId="3281BC6B" w14:textId="77777777" w:rsidR="00456479" w:rsidRDefault="00267ACA">
            <w:pPr>
              <w:pStyle w:val="normal0"/>
              <w:numPr>
                <w:ilvl w:val="0"/>
                <w:numId w:val="14"/>
              </w:numPr>
              <w:contextualSpacing/>
              <w:rPr>
                <w:rFonts w:ascii="Muli" w:eastAsia="Muli" w:hAnsi="Muli" w:cs="Muli"/>
                <w:sz w:val="20"/>
                <w:szCs w:val="20"/>
              </w:rPr>
            </w:pPr>
            <w:r>
              <w:rPr>
                <w:rFonts w:ascii="Muli" w:eastAsia="Muli" w:hAnsi="Muli" w:cs="Muli"/>
                <w:sz w:val="20"/>
                <w:szCs w:val="20"/>
              </w:rPr>
              <w:t>Students write a claim about how animals attract mates and then identify evidence for their claim. They revise their claim in light of the evidence and explain their reasoning, considering how the evidence changed or strengthened their claim (</w:t>
            </w:r>
            <w:r>
              <w:rPr>
                <w:rFonts w:ascii="Muli" w:eastAsia="Muli" w:hAnsi="Muli" w:cs="Muli"/>
                <w:b/>
                <w:color w:val="FF126D"/>
                <w:sz w:val="20"/>
                <w:szCs w:val="20"/>
              </w:rPr>
              <w:t>DQ1L3 TB p. 1</w:t>
            </w:r>
            <w:r>
              <w:rPr>
                <w:rFonts w:ascii="Muli" w:eastAsia="Muli" w:hAnsi="Muli" w:cs="Muli"/>
                <w:b/>
                <w:color w:val="FF126D"/>
                <w:sz w:val="20"/>
                <w:szCs w:val="20"/>
              </w:rPr>
              <w:t>0</w:t>
            </w:r>
            <w:r>
              <w:rPr>
                <w:rFonts w:ascii="Muli" w:eastAsia="Muli" w:hAnsi="Muli" w:cs="Muli"/>
                <w:sz w:val="20"/>
                <w:szCs w:val="20"/>
              </w:rPr>
              <w:t xml:space="preserve">). </w:t>
            </w:r>
          </w:p>
        </w:tc>
        <w:tc>
          <w:tcPr>
            <w:tcW w:w="4800" w:type="dxa"/>
          </w:tcPr>
          <w:p w14:paraId="36262605" w14:textId="77777777" w:rsidR="00456479" w:rsidRDefault="00267ACA">
            <w:pPr>
              <w:pStyle w:val="normal0"/>
              <w:ind w:right="383"/>
              <w:rPr>
                <w:rFonts w:ascii="Muli" w:eastAsia="Muli" w:hAnsi="Muli" w:cs="Muli"/>
                <w:sz w:val="20"/>
                <w:szCs w:val="20"/>
              </w:rPr>
            </w:pPr>
            <w:r>
              <w:rPr>
                <w:rFonts w:ascii="Muli" w:eastAsia="Muli" w:hAnsi="Muli" w:cs="Muli"/>
                <w:noProof/>
                <w:sz w:val="20"/>
                <w:szCs w:val="20"/>
              </w:rPr>
              <w:drawing>
                <wp:inline distT="114300" distB="114300" distL="114300" distR="114300" wp14:anchorId="4D3B7E79" wp14:editId="7E6FD918">
                  <wp:extent cx="2871788" cy="3781037"/>
                  <wp:effectExtent l="0" t="0" r="0" b="0"/>
                  <wp:docPr id="6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6"/>
                          <a:srcRect/>
                          <a:stretch>
                            <a:fillRect/>
                          </a:stretch>
                        </pic:blipFill>
                        <pic:spPr>
                          <a:xfrm>
                            <a:off x="0" y="0"/>
                            <a:ext cx="2871788" cy="3781037"/>
                          </a:xfrm>
                          <a:prstGeom prst="rect">
                            <a:avLst/>
                          </a:prstGeom>
                          <a:ln/>
                        </pic:spPr>
                      </pic:pic>
                    </a:graphicData>
                  </a:graphic>
                </wp:inline>
              </w:drawing>
            </w:r>
          </w:p>
          <w:p w14:paraId="708D5CCA"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DQ1L3 TB p. 10</w:t>
            </w:r>
          </w:p>
        </w:tc>
      </w:tr>
      <w:tr w:rsidR="00456479" w14:paraId="743B2031" w14:textId="77777777">
        <w:trPr>
          <w:trHeight w:val="600"/>
        </w:trPr>
        <w:tc>
          <w:tcPr>
            <w:tcW w:w="9390" w:type="dxa"/>
          </w:tcPr>
          <w:p w14:paraId="42D7FDB6" w14:textId="77777777" w:rsidR="00456479" w:rsidRDefault="00267ACA">
            <w:pPr>
              <w:pStyle w:val="normal0"/>
              <w:numPr>
                <w:ilvl w:val="0"/>
                <w:numId w:val="14"/>
              </w:numPr>
              <w:contextualSpacing/>
              <w:rPr>
                <w:rFonts w:ascii="Muli" w:eastAsia="Muli" w:hAnsi="Muli" w:cs="Muli"/>
                <w:sz w:val="20"/>
                <w:szCs w:val="20"/>
              </w:rPr>
            </w:pPr>
            <w:r>
              <w:rPr>
                <w:rFonts w:ascii="Muli" w:eastAsia="Muli" w:hAnsi="Muli" w:cs="Muli"/>
                <w:sz w:val="20"/>
                <w:szCs w:val="20"/>
              </w:rPr>
              <w:t xml:space="preserve">Students write a scientific explanation about growth rates of different strains of chicken, drawing on learning from Grade 5 Module 2 where they learned that animals gain matter from plants or other animals </w:t>
            </w:r>
            <w:r>
              <w:rPr>
                <w:rFonts w:ascii="Muli" w:eastAsia="Muli" w:hAnsi="Muli" w:cs="Muli"/>
                <w:b/>
                <w:color w:val="FF126D"/>
                <w:sz w:val="20"/>
                <w:szCs w:val="20"/>
              </w:rPr>
              <w:t>(DQ3L5 TE p. 220)</w:t>
            </w:r>
            <w:r>
              <w:rPr>
                <w:rFonts w:ascii="Muli" w:eastAsia="Muli" w:hAnsi="Muli" w:cs="Muli"/>
                <w:sz w:val="20"/>
                <w:szCs w:val="20"/>
              </w:rPr>
              <w:t>.</w:t>
            </w:r>
          </w:p>
        </w:tc>
        <w:tc>
          <w:tcPr>
            <w:tcW w:w="4800" w:type="dxa"/>
          </w:tcPr>
          <w:p w14:paraId="732CF46C" w14:textId="77777777" w:rsidR="00456479" w:rsidRDefault="00267ACA">
            <w:pPr>
              <w:pStyle w:val="normal0"/>
              <w:ind w:left="180" w:right="383" w:hanging="90"/>
              <w:rPr>
                <w:rFonts w:ascii="Muli" w:eastAsia="Muli" w:hAnsi="Muli" w:cs="Muli"/>
                <w:sz w:val="20"/>
                <w:szCs w:val="20"/>
              </w:rPr>
            </w:pPr>
            <w:r>
              <w:rPr>
                <w:rFonts w:ascii="Muli" w:eastAsia="Muli" w:hAnsi="Muli" w:cs="Muli"/>
                <w:noProof/>
                <w:sz w:val="20"/>
                <w:szCs w:val="20"/>
              </w:rPr>
              <w:drawing>
                <wp:inline distT="114300" distB="114300" distL="114300" distR="114300" wp14:anchorId="23E87890" wp14:editId="2865F61E">
                  <wp:extent cx="2947988" cy="1506338"/>
                  <wp:effectExtent l="12700" t="12700" r="12700" b="12700"/>
                  <wp:docPr id="5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7"/>
                          <a:srcRect/>
                          <a:stretch>
                            <a:fillRect/>
                          </a:stretch>
                        </pic:blipFill>
                        <pic:spPr>
                          <a:xfrm>
                            <a:off x="0" y="0"/>
                            <a:ext cx="2947988" cy="1506338"/>
                          </a:xfrm>
                          <a:prstGeom prst="rect">
                            <a:avLst/>
                          </a:prstGeom>
                          <a:ln w="12700">
                            <a:solidFill>
                              <a:srgbClr val="D9D9D9"/>
                            </a:solidFill>
                            <a:prstDash val="solid"/>
                          </a:ln>
                        </pic:spPr>
                      </pic:pic>
                    </a:graphicData>
                  </a:graphic>
                </wp:inline>
              </w:drawing>
            </w:r>
          </w:p>
          <w:p w14:paraId="1EA9D41D" w14:textId="77777777" w:rsidR="00456479" w:rsidRDefault="00267ACA">
            <w:pPr>
              <w:pStyle w:val="normal0"/>
              <w:ind w:left="180" w:hanging="90"/>
              <w:rPr>
                <w:rFonts w:ascii="Muli" w:eastAsia="Muli" w:hAnsi="Muli" w:cs="Muli"/>
                <w:sz w:val="20"/>
                <w:szCs w:val="20"/>
              </w:rPr>
            </w:pPr>
            <w:r>
              <w:rPr>
                <w:rFonts w:ascii="Muli" w:eastAsia="Muli" w:hAnsi="Muli" w:cs="Muli"/>
                <w:b/>
                <w:color w:val="FF126D"/>
                <w:sz w:val="20"/>
                <w:szCs w:val="20"/>
              </w:rPr>
              <w:t>DQ3L5 TE p. 220</w:t>
            </w:r>
          </w:p>
        </w:tc>
      </w:tr>
      <w:tr w:rsidR="00456479" w14:paraId="062021A3" w14:textId="77777777">
        <w:trPr>
          <w:trHeight w:val="600"/>
        </w:trPr>
        <w:tc>
          <w:tcPr>
            <w:tcW w:w="9390" w:type="dxa"/>
            <w:vMerge w:val="restart"/>
          </w:tcPr>
          <w:p w14:paraId="1B4EF8D4" w14:textId="77777777" w:rsidR="00456479" w:rsidRDefault="00267ACA">
            <w:pPr>
              <w:pStyle w:val="normal0"/>
              <w:numPr>
                <w:ilvl w:val="0"/>
                <w:numId w:val="14"/>
              </w:numPr>
              <w:contextualSpacing/>
              <w:rPr>
                <w:rFonts w:ascii="Muli" w:eastAsia="Muli" w:hAnsi="Muli" w:cs="Muli"/>
                <w:sz w:val="20"/>
                <w:szCs w:val="20"/>
              </w:rPr>
            </w:pPr>
            <w:r>
              <w:rPr>
                <w:rFonts w:ascii="Muli" w:eastAsia="Muli" w:hAnsi="Muli" w:cs="Muli"/>
                <w:sz w:val="20"/>
                <w:szCs w:val="20"/>
              </w:rPr>
              <w:lastRenderedPageBreak/>
              <w:t>Students peer-review a partner’s claim-evidence-reasoning organizer, giving positive comments, asking questions, and suggesting potential changes (</w:t>
            </w:r>
            <w:r>
              <w:rPr>
                <w:rFonts w:ascii="Muli" w:eastAsia="Muli" w:hAnsi="Muli" w:cs="Muli"/>
                <w:b/>
                <w:color w:val="FF126D"/>
                <w:sz w:val="20"/>
                <w:szCs w:val="20"/>
              </w:rPr>
              <w:t>DQ1L10 TB p. 46</w:t>
            </w:r>
            <w:r>
              <w:rPr>
                <w:rFonts w:ascii="Muli" w:eastAsia="Muli" w:hAnsi="Muli" w:cs="Muli"/>
                <w:sz w:val="20"/>
                <w:szCs w:val="20"/>
              </w:rPr>
              <w:t>).</w:t>
            </w:r>
          </w:p>
        </w:tc>
        <w:tc>
          <w:tcPr>
            <w:tcW w:w="4800" w:type="dxa"/>
            <w:vMerge w:val="restart"/>
          </w:tcPr>
          <w:p w14:paraId="3FACAEC3"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6A9FB383" wp14:editId="0BB6A7E6">
                  <wp:extent cx="2928938" cy="2671852"/>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2928938" cy="2671852"/>
                          </a:xfrm>
                          <a:prstGeom prst="rect">
                            <a:avLst/>
                          </a:prstGeom>
                          <a:ln/>
                        </pic:spPr>
                      </pic:pic>
                    </a:graphicData>
                  </a:graphic>
                </wp:inline>
              </w:drawing>
            </w:r>
          </w:p>
          <w:p w14:paraId="5EB94F32"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DQ1L10 TB p. 46</w:t>
            </w:r>
          </w:p>
        </w:tc>
      </w:tr>
      <w:tr w:rsidR="00456479" w14:paraId="7F3FD7DA" w14:textId="77777777">
        <w:trPr>
          <w:trHeight w:val="600"/>
        </w:trPr>
        <w:tc>
          <w:tcPr>
            <w:tcW w:w="9390" w:type="dxa"/>
            <w:vMerge/>
          </w:tcPr>
          <w:p w14:paraId="19B70FFB" w14:textId="77777777" w:rsidR="00456479" w:rsidRDefault="00456479">
            <w:pPr>
              <w:pStyle w:val="normal0"/>
              <w:rPr>
                <w:rFonts w:ascii="Muli" w:eastAsia="Muli" w:hAnsi="Muli" w:cs="Muli"/>
                <w:sz w:val="20"/>
                <w:szCs w:val="20"/>
              </w:rPr>
            </w:pPr>
          </w:p>
        </w:tc>
        <w:tc>
          <w:tcPr>
            <w:tcW w:w="4800" w:type="dxa"/>
            <w:vMerge/>
          </w:tcPr>
          <w:p w14:paraId="1EECD8A4" w14:textId="77777777" w:rsidR="00456479" w:rsidRDefault="00456479">
            <w:pPr>
              <w:pStyle w:val="normal0"/>
              <w:ind w:right="383"/>
              <w:rPr>
                <w:rFonts w:ascii="Muli" w:eastAsia="Muli" w:hAnsi="Muli" w:cs="Muli"/>
                <w:sz w:val="20"/>
                <w:szCs w:val="20"/>
              </w:rPr>
            </w:pPr>
          </w:p>
        </w:tc>
      </w:tr>
      <w:tr w:rsidR="00456479" w14:paraId="03E779DD" w14:textId="77777777">
        <w:trPr>
          <w:trHeight w:val="600"/>
        </w:trPr>
        <w:tc>
          <w:tcPr>
            <w:tcW w:w="9390" w:type="dxa"/>
            <w:vMerge/>
          </w:tcPr>
          <w:p w14:paraId="4F48C2F3" w14:textId="77777777" w:rsidR="00456479" w:rsidRDefault="00456479">
            <w:pPr>
              <w:pStyle w:val="normal0"/>
              <w:rPr>
                <w:rFonts w:ascii="Muli" w:eastAsia="Muli" w:hAnsi="Muli" w:cs="Muli"/>
                <w:sz w:val="20"/>
                <w:szCs w:val="20"/>
              </w:rPr>
            </w:pPr>
          </w:p>
        </w:tc>
        <w:tc>
          <w:tcPr>
            <w:tcW w:w="4800" w:type="dxa"/>
            <w:vMerge/>
          </w:tcPr>
          <w:p w14:paraId="356BCEC0" w14:textId="77777777" w:rsidR="00456479" w:rsidRDefault="00456479">
            <w:pPr>
              <w:pStyle w:val="normal0"/>
              <w:ind w:right="383"/>
              <w:rPr>
                <w:rFonts w:ascii="Muli" w:eastAsia="Muli" w:hAnsi="Muli" w:cs="Muli"/>
                <w:sz w:val="20"/>
                <w:szCs w:val="20"/>
              </w:rPr>
            </w:pPr>
          </w:p>
        </w:tc>
      </w:tr>
      <w:tr w:rsidR="00456479" w14:paraId="79035B1B" w14:textId="77777777">
        <w:trPr>
          <w:trHeight w:val="2900"/>
        </w:trPr>
        <w:tc>
          <w:tcPr>
            <w:tcW w:w="9390" w:type="dxa"/>
            <w:vMerge/>
          </w:tcPr>
          <w:p w14:paraId="623ACC27" w14:textId="77777777" w:rsidR="00456479" w:rsidRDefault="00456479">
            <w:pPr>
              <w:pStyle w:val="normal0"/>
              <w:rPr>
                <w:rFonts w:ascii="Muli" w:eastAsia="Muli" w:hAnsi="Muli" w:cs="Muli"/>
                <w:sz w:val="20"/>
                <w:szCs w:val="20"/>
              </w:rPr>
            </w:pPr>
          </w:p>
        </w:tc>
        <w:tc>
          <w:tcPr>
            <w:tcW w:w="4800" w:type="dxa"/>
            <w:vMerge/>
          </w:tcPr>
          <w:p w14:paraId="04B6EF34" w14:textId="77777777" w:rsidR="00456479" w:rsidRDefault="00456479">
            <w:pPr>
              <w:pStyle w:val="normal0"/>
              <w:ind w:right="383"/>
              <w:rPr>
                <w:rFonts w:ascii="Muli" w:eastAsia="Muli" w:hAnsi="Muli" w:cs="Muli"/>
                <w:sz w:val="20"/>
                <w:szCs w:val="20"/>
              </w:rPr>
            </w:pPr>
          </w:p>
        </w:tc>
      </w:tr>
      <w:tr w:rsidR="00456479" w14:paraId="4A33EC69" w14:textId="77777777">
        <w:trPr>
          <w:trHeight w:val="600"/>
        </w:trPr>
        <w:tc>
          <w:tcPr>
            <w:tcW w:w="9390" w:type="dxa"/>
          </w:tcPr>
          <w:p w14:paraId="10CB0403" w14:textId="77777777" w:rsidR="00456479" w:rsidRDefault="00267ACA">
            <w:pPr>
              <w:pStyle w:val="normal0"/>
              <w:numPr>
                <w:ilvl w:val="0"/>
                <w:numId w:val="14"/>
              </w:numPr>
              <w:contextualSpacing/>
              <w:rPr>
                <w:rFonts w:ascii="Muli" w:eastAsia="Muli" w:hAnsi="Muli" w:cs="Muli"/>
                <w:sz w:val="20"/>
                <w:szCs w:val="20"/>
              </w:rPr>
            </w:pPr>
            <w:r>
              <w:rPr>
                <w:rFonts w:ascii="Muli" w:eastAsia="Muli" w:hAnsi="Muli" w:cs="Muli"/>
                <w:sz w:val="20"/>
                <w:szCs w:val="20"/>
              </w:rPr>
              <w:t xml:space="preserve">Students dissect a flower and draw a model of the various flower parts </w:t>
            </w:r>
            <w:r>
              <w:rPr>
                <w:rFonts w:ascii="Muli" w:eastAsia="Muli" w:hAnsi="Muli" w:cs="Muli"/>
                <w:b/>
                <w:color w:val="FF126D"/>
                <w:sz w:val="20"/>
                <w:szCs w:val="20"/>
              </w:rPr>
              <w:t>(DQ2L1 TB p. 52)</w:t>
            </w:r>
            <w:r>
              <w:rPr>
                <w:rFonts w:ascii="Muli" w:eastAsia="Muli" w:hAnsi="Muli" w:cs="Muli"/>
                <w:sz w:val="20"/>
                <w:szCs w:val="20"/>
              </w:rPr>
              <w:t>.</w:t>
            </w:r>
          </w:p>
        </w:tc>
        <w:tc>
          <w:tcPr>
            <w:tcW w:w="4800" w:type="dxa"/>
          </w:tcPr>
          <w:p w14:paraId="57659B77"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7953C6F7" wp14:editId="1E04FC93">
                  <wp:extent cx="2814638" cy="1826426"/>
                  <wp:effectExtent l="0" t="0" r="0" b="0"/>
                  <wp:docPr id="7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9"/>
                          <a:srcRect/>
                          <a:stretch>
                            <a:fillRect/>
                          </a:stretch>
                        </pic:blipFill>
                        <pic:spPr>
                          <a:xfrm>
                            <a:off x="0" y="0"/>
                            <a:ext cx="2814638" cy="1826426"/>
                          </a:xfrm>
                          <a:prstGeom prst="rect">
                            <a:avLst/>
                          </a:prstGeom>
                          <a:ln/>
                        </pic:spPr>
                      </pic:pic>
                    </a:graphicData>
                  </a:graphic>
                </wp:inline>
              </w:drawing>
            </w:r>
          </w:p>
          <w:p w14:paraId="7009FCCB"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DQ2L1 TB p. 52</w:t>
            </w:r>
          </w:p>
        </w:tc>
      </w:tr>
      <w:tr w:rsidR="00456479" w14:paraId="63EF4276" w14:textId="77777777" w:rsidTr="00ED15A9">
        <w:trPr>
          <w:trHeight w:val="10054"/>
        </w:trPr>
        <w:tc>
          <w:tcPr>
            <w:tcW w:w="9390" w:type="dxa"/>
          </w:tcPr>
          <w:p w14:paraId="45014AF1" w14:textId="77777777" w:rsidR="00456479" w:rsidRDefault="00267ACA">
            <w:pPr>
              <w:pStyle w:val="normal0"/>
              <w:numPr>
                <w:ilvl w:val="0"/>
                <w:numId w:val="14"/>
              </w:numPr>
              <w:contextualSpacing/>
              <w:rPr>
                <w:rFonts w:ascii="Muli" w:eastAsia="Muli" w:hAnsi="Muli" w:cs="Muli"/>
                <w:sz w:val="20"/>
                <w:szCs w:val="20"/>
              </w:rPr>
            </w:pPr>
            <w:r>
              <w:rPr>
                <w:rFonts w:ascii="Muli" w:eastAsia="Muli" w:hAnsi="Muli" w:cs="Muli"/>
                <w:sz w:val="20"/>
                <w:szCs w:val="20"/>
              </w:rPr>
              <w:lastRenderedPageBreak/>
              <w:t xml:space="preserve">Students make a claim about a pattern in the wing color of butterflies, providing evidence </w:t>
            </w:r>
            <w:r>
              <w:rPr>
                <w:rFonts w:ascii="Muli" w:eastAsia="Muli" w:hAnsi="Muli" w:cs="Muli"/>
                <w:b/>
                <w:color w:val="FF126D"/>
                <w:sz w:val="20"/>
                <w:szCs w:val="20"/>
              </w:rPr>
              <w:t>(DQ2L5 TB p. 64)</w:t>
            </w:r>
            <w:r>
              <w:rPr>
                <w:rFonts w:ascii="Muli" w:eastAsia="Muli" w:hAnsi="Muli" w:cs="Muli"/>
                <w:sz w:val="20"/>
                <w:szCs w:val="20"/>
              </w:rPr>
              <w:t>.</w:t>
            </w:r>
          </w:p>
        </w:tc>
        <w:tc>
          <w:tcPr>
            <w:tcW w:w="4800" w:type="dxa"/>
          </w:tcPr>
          <w:p w14:paraId="5DA4CE60"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405A5D35" wp14:editId="65B690DE">
                  <wp:extent cx="2805113" cy="1873006"/>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805113" cy="1873006"/>
                          </a:xfrm>
                          <a:prstGeom prst="rect">
                            <a:avLst/>
                          </a:prstGeom>
                          <a:ln/>
                        </pic:spPr>
                      </pic:pic>
                    </a:graphicData>
                  </a:graphic>
                </wp:inline>
              </w:drawing>
            </w:r>
          </w:p>
          <w:p w14:paraId="168E1604"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DQ2L5 TB p. 64</w:t>
            </w:r>
          </w:p>
        </w:tc>
      </w:tr>
      <w:tr w:rsidR="00456479" w14:paraId="31DE3B56" w14:textId="77777777">
        <w:trPr>
          <w:trHeight w:val="600"/>
        </w:trPr>
        <w:tc>
          <w:tcPr>
            <w:tcW w:w="14190" w:type="dxa"/>
            <w:gridSpan w:val="2"/>
            <w:shd w:val="clear" w:color="auto" w:fill="D9D9D9"/>
          </w:tcPr>
          <w:p w14:paraId="6CD58CBF" w14:textId="77777777" w:rsidR="00456479" w:rsidRDefault="00267ACA">
            <w:pPr>
              <w:pStyle w:val="normal0"/>
              <w:ind w:left="180" w:right="105"/>
              <w:rPr>
                <w:rFonts w:ascii="Muli" w:eastAsia="Muli" w:hAnsi="Muli" w:cs="Muli"/>
                <w:b/>
                <w:color w:val="2F5496"/>
                <w:sz w:val="20"/>
                <w:szCs w:val="20"/>
              </w:rPr>
            </w:pPr>
            <w:r>
              <w:rPr>
                <w:rFonts w:ascii="Muli" w:eastAsia="Muli" w:hAnsi="Muli" w:cs="Muli"/>
                <w:b/>
                <w:color w:val="2F5496"/>
                <w:sz w:val="20"/>
                <w:szCs w:val="20"/>
              </w:rPr>
              <w:lastRenderedPageBreak/>
              <w:t>SW3. Prior Knowledge.</w:t>
            </w:r>
          </w:p>
          <w:p w14:paraId="57855A18" w14:textId="77777777" w:rsidR="00456479" w:rsidRDefault="00267ACA">
            <w:pPr>
              <w:pStyle w:val="normal0"/>
              <w:ind w:left="180" w:right="105"/>
              <w:rPr>
                <w:rFonts w:ascii="Muli" w:eastAsia="Muli" w:hAnsi="Muli" w:cs="Muli"/>
                <w:b/>
                <w:sz w:val="20"/>
                <w:szCs w:val="20"/>
              </w:rPr>
            </w:pPr>
            <w:r>
              <w:rPr>
                <w:rFonts w:ascii="Muli" w:eastAsia="Muli" w:hAnsi="Muli" w:cs="Muli"/>
                <w:sz w:val="20"/>
                <w:szCs w:val="20"/>
              </w:rPr>
              <w:t>Materials consistently leverage student prior knowledge and experiences to motivate their learning.</w:t>
            </w:r>
          </w:p>
        </w:tc>
      </w:tr>
      <w:tr w:rsidR="00ED15A9" w14:paraId="2327F92B" w14:textId="77777777" w:rsidTr="00ED15A9">
        <w:trPr>
          <w:trHeight w:val="1926"/>
        </w:trPr>
        <w:tc>
          <w:tcPr>
            <w:tcW w:w="14190" w:type="dxa"/>
            <w:gridSpan w:val="2"/>
          </w:tcPr>
          <w:p w14:paraId="35972C4F" w14:textId="77777777" w:rsidR="00ED15A9" w:rsidRDefault="00ED15A9" w:rsidP="00ED15A9">
            <w:pPr>
              <w:pStyle w:val="normal0"/>
              <w:ind w:left="180"/>
              <w:rPr>
                <w:rFonts w:ascii="Muli" w:eastAsia="Muli" w:hAnsi="Muli" w:cs="Muli"/>
                <w:b/>
                <w:color w:val="FF126D"/>
                <w:sz w:val="20"/>
                <w:szCs w:val="20"/>
              </w:rPr>
            </w:pPr>
            <w:r>
              <w:rPr>
                <w:rFonts w:ascii="Muli" w:eastAsia="Muli" w:hAnsi="Muli" w:cs="Muli"/>
                <w:b/>
                <w:color w:val="FF126D"/>
                <w:sz w:val="20"/>
                <w:szCs w:val="20"/>
              </w:rPr>
              <w:t>Evidence</w:t>
            </w:r>
          </w:p>
          <w:p w14:paraId="038B92EB" w14:textId="77777777" w:rsidR="00ED15A9" w:rsidRDefault="00ED15A9" w:rsidP="00ED15A9">
            <w:pPr>
              <w:pStyle w:val="normal0"/>
              <w:ind w:right="261"/>
              <w:rPr>
                <w:rFonts w:ascii="Muli" w:eastAsia="Muli" w:hAnsi="Muli" w:cs="Muli"/>
                <w:b/>
                <w:sz w:val="20"/>
                <w:szCs w:val="20"/>
              </w:rPr>
            </w:pPr>
          </w:p>
          <w:p w14:paraId="1C8FE809" w14:textId="77777777" w:rsidR="00ED15A9" w:rsidRDefault="00ED15A9" w:rsidP="00ED15A9">
            <w:pPr>
              <w:pStyle w:val="normal0"/>
              <w:ind w:left="180" w:right="261"/>
              <w:rPr>
                <w:rFonts w:ascii="Muli" w:eastAsia="Muli" w:hAnsi="Muli" w:cs="Muli"/>
                <w:b/>
                <w:sz w:val="20"/>
                <w:szCs w:val="20"/>
              </w:rPr>
            </w:pPr>
            <w:r>
              <w:rPr>
                <w:rFonts w:ascii="Muli" w:eastAsia="Muli" w:hAnsi="Muli" w:cs="Muli"/>
                <w:b/>
                <w:sz w:val="20"/>
                <w:szCs w:val="20"/>
              </w:rPr>
              <w:t>Across Program</w:t>
            </w:r>
          </w:p>
          <w:p w14:paraId="57C5709E" w14:textId="77777777" w:rsidR="00ED15A9" w:rsidRDefault="00ED15A9" w:rsidP="00ED15A9">
            <w:pPr>
              <w:pStyle w:val="normal0"/>
              <w:ind w:left="180"/>
              <w:rPr>
                <w:rFonts w:ascii="Muli" w:eastAsia="Muli" w:hAnsi="Muli" w:cs="Muli"/>
                <w:sz w:val="20"/>
                <w:szCs w:val="20"/>
                <w:shd w:val="clear" w:color="auto" w:fill="F4CCCC"/>
              </w:rPr>
            </w:pPr>
            <w:r>
              <w:rPr>
                <w:rFonts w:ascii="Muli" w:eastAsia="Muli" w:hAnsi="Muli" w:cs="Muli"/>
                <w:sz w:val="20"/>
                <w:szCs w:val="20"/>
              </w:rPr>
              <w:t>The Red List builds on prior knowledge of relationships between living things and the environment (Grade K Module 1, Grade 5 Module 2), the structure and function of plant parts (Grade 1 Module 1, Grade 2 Module 4), and genetics (Grade 1 Module 1, Grade 1 Module 2, Grade 3 Module 2, Grade 3 Module 3).</w:t>
            </w:r>
          </w:p>
          <w:p w14:paraId="4C7E44F3" w14:textId="77777777" w:rsidR="00ED15A9" w:rsidRDefault="00ED15A9">
            <w:pPr>
              <w:pStyle w:val="normal0"/>
              <w:ind w:right="383"/>
              <w:rPr>
                <w:rFonts w:ascii="Muli" w:eastAsia="Muli" w:hAnsi="Muli" w:cs="Muli"/>
                <w:noProof/>
                <w:sz w:val="20"/>
                <w:szCs w:val="20"/>
              </w:rPr>
            </w:pPr>
          </w:p>
        </w:tc>
      </w:tr>
      <w:tr w:rsidR="00456479" w14:paraId="6A789645" w14:textId="77777777">
        <w:trPr>
          <w:trHeight w:val="7800"/>
        </w:trPr>
        <w:tc>
          <w:tcPr>
            <w:tcW w:w="9390" w:type="dxa"/>
          </w:tcPr>
          <w:p w14:paraId="4F8EA6C2" w14:textId="77777777" w:rsidR="00456479" w:rsidRDefault="00456479">
            <w:pPr>
              <w:pStyle w:val="normal0"/>
              <w:ind w:left="180"/>
              <w:rPr>
                <w:rFonts w:ascii="Muli" w:eastAsia="Muli" w:hAnsi="Muli" w:cs="Muli"/>
                <w:b/>
                <w:sz w:val="20"/>
                <w:szCs w:val="20"/>
              </w:rPr>
            </w:pPr>
          </w:p>
          <w:p w14:paraId="2EA04CE6" w14:textId="77777777" w:rsidR="00456479" w:rsidRDefault="00267ACA">
            <w:pPr>
              <w:pStyle w:val="normal0"/>
              <w:ind w:left="180"/>
              <w:rPr>
                <w:rFonts w:ascii="Muli" w:eastAsia="Muli" w:hAnsi="Muli" w:cs="Muli"/>
                <w:b/>
                <w:sz w:val="20"/>
                <w:szCs w:val="20"/>
              </w:rPr>
            </w:pPr>
            <w:r>
              <w:rPr>
                <w:rFonts w:ascii="Muli" w:eastAsia="Muli" w:hAnsi="Muli" w:cs="Muli"/>
                <w:b/>
                <w:sz w:val="20"/>
                <w:szCs w:val="20"/>
              </w:rPr>
              <w:t>Within Module</w:t>
            </w:r>
          </w:p>
          <w:p w14:paraId="56B2E706" w14:textId="77777777" w:rsidR="00456479" w:rsidRDefault="00267ACA">
            <w:pPr>
              <w:pStyle w:val="normal0"/>
              <w:ind w:left="180"/>
              <w:rPr>
                <w:rFonts w:ascii="Muli" w:eastAsia="Muli" w:hAnsi="Muli" w:cs="Muli"/>
                <w:sz w:val="20"/>
                <w:szCs w:val="20"/>
              </w:rPr>
            </w:pPr>
            <w:r>
              <w:rPr>
                <w:rFonts w:ascii="Muli" w:eastAsia="Muli" w:hAnsi="Muli" w:cs="Muli"/>
                <w:sz w:val="20"/>
                <w:szCs w:val="20"/>
              </w:rPr>
              <w:t xml:space="preserve">Students activate their prior knowledge of the relationship between living things and their environment through a </w:t>
            </w:r>
            <w:r>
              <w:rPr>
                <w:rFonts w:ascii="Muli" w:eastAsia="Muli" w:hAnsi="Muli" w:cs="Muli"/>
                <w:b/>
                <w:color w:val="FF126D"/>
                <w:sz w:val="20"/>
                <w:szCs w:val="20"/>
              </w:rPr>
              <w:t>Prior Knowledge Read-Aloud (DQ1L2 TE p. 20)</w:t>
            </w:r>
            <w:r>
              <w:rPr>
                <w:rFonts w:ascii="Muli" w:eastAsia="Muli" w:hAnsi="Muli" w:cs="Muli"/>
                <w:sz w:val="20"/>
                <w:szCs w:val="20"/>
              </w:rPr>
              <w:t xml:space="preserve">. They are prompted to think back to </w:t>
            </w:r>
            <w:r>
              <w:rPr>
                <w:rFonts w:ascii="Muli" w:eastAsia="Muli" w:hAnsi="Muli" w:cs="Muli"/>
                <w:sz w:val="20"/>
                <w:szCs w:val="20"/>
              </w:rPr>
              <w:t xml:space="preserve">Grade 5 Module 2, in which they learned that animals gain matter from plants or other animals </w:t>
            </w:r>
            <w:r>
              <w:rPr>
                <w:rFonts w:ascii="Muli" w:eastAsia="Muli" w:hAnsi="Muli" w:cs="Muli"/>
                <w:b/>
                <w:color w:val="FF126D"/>
                <w:sz w:val="20"/>
                <w:szCs w:val="20"/>
              </w:rPr>
              <w:t>(DQ3L5 TE p. 220)</w:t>
            </w:r>
            <w:r>
              <w:rPr>
                <w:rFonts w:ascii="Muli" w:eastAsia="Muli" w:hAnsi="Muli" w:cs="Muli"/>
                <w:sz w:val="20"/>
                <w:szCs w:val="20"/>
              </w:rPr>
              <w:t>.</w:t>
            </w:r>
          </w:p>
          <w:p w14:paraId="2855B85C" w14:textId="77777777" w:rsidR="00ED15A9" w:rsidRDefault="00ED15A9" w:rsidP="00ED15A9">
            <w:pPr>
              <w:pStyle w:val="normal0"/>
              <w:ind w:left="180"/>
              <w:rPr>
                <w:rFonts w:ascii="Muli" w:eastAsia="Muli" w:hAnsi="Muli" w:cs="Muli"/>
                <w:sz w:val="20"/>
                <w:szCs w:val="20"/>
              </w:rPr>
            </w:pPr>
          </w:p>
          <w:p w14:paraId="7B8E5977" w14:textId="77777777" w:rsidR="00ED15A9" w:rsidRDefault="00ED15A9" w:rsidP="00ED15A9">
            <w:pPr>
              <w:pStyle w:val="normal0"/>
              <w:ind w:left="180"/>
              <w:rPr>
                <w:rFonts w:ascii="Muli" w:eastAsia="Muli" w:hAnsi="Muli" w:cs="Muli"/>
                <w:sz w:val="20"/>
                <w:szCs w:val="20"/>
              </w:rPr>
            </w:pPr>
            <w:r>
              <w:rPr>
                <w:rFonts w:ascii="Muli" w:eastAsia="Muli" w:hAnsi="Muli" w:cs="Muli"/>
                <w:sz w:val="20"/>
                <w:szCs w:val="20"/>
              </w:rPr>
              <w:t>Throughout the module, students are consistently supported to revise their claims and relate their new understandings to answering the Driving Questions and solving the Module Phenomenon.</w:t>
            </w:r>
          </w:p>
          <w:p w14:paraId="1F0B2557" w14:textId="77777777" w:rsidR="00ED15A9" w:rsidRDefault="00ED15A9" w:rsidP="00ED15A9">
            <w:pPr>
              <w:pStyle w:val="normal0"/>
              <w:ind w:left="180"/>
              <w:rPr>
                <w:rFonts w:ascii="Muli" w:eastAsia="Muli" w:hAnsi="Muli" w:cs="Muli"/>
                <w:sz w:val="20"/>
                <w:szCs w:val="20"/>
              </w:rPr>
            </w:pPr>
          </w:p>
          <w:p w14:paraId="09A43EDE" w14:textId="77777777" w:rsidR="00ED15A9" w:rsidRDefault="00ED15A9" w:rsidP="00ED15A9">
            <w:pPr>
              <w:pStyle w:val="normal0"/>
              <w:ind w:left="180"/>
              <w:rPr>
                <w:rFonts w:ascii="Muli" w:eastAsia="Muli" w:hAnsi="Muli" w:cs="Muli"/>
                <w:sz w:val="20"/>
                <w:szCs w:val="20"/>
              </w:rPr>
            </w:pPr>
            <w:r>
              <w:rPr>
                <w:rFonts w:ascii="Muli" w:eastAsia="Muli" w:hAnsi="Muli" w:cs="Muli"/>
                <w:sz w:val="20"/>
                <w:szCs w:val="20"/>
              </w:rPr>
              <w:t xml:space="preserve">Throughout the module, students refer and add to their classroom Science Tools poster, which explicitly details their growing use of the SEPs, and motivates them by helping them visualize their progression.  </w:t>
            </w:r>
          </w:p>
          <w:p w14:paraId="7D0C9054" w14:textId="77777777" w:rsidR="00ED15A9" w:rsidRDefault="00ED15A9">
            <w:pPr>
              <w:pStyle w:val="normal0"/>
              <w:ind w:left="180"/>
              <w:rPr>
                <w:rFonts w:ascii="Muli" w:eastAsia="Muli" w:hAnsi="Muli" w:cs="Muli"/>
                <w:b/>
                <w:sz w:val="20"/>
                <w:szCs w:val="20"/>
              </w:rPr>
            </w:pPr>
          </w:p>
        </w:tc>
        <w:tc>
          <w:tcPr>
            <w:tcW w:w="4800" w:type="dxa"/>
          </w:tcPr>
          <w:p w14:paraId="6609E3DE" w14:textId="77777777" w:rsidR="00456479" w:rsidRDefault="00267ACA">
            <w:pPr>
              <w:pStyle w:val="normal0"/>
              <w:ind w:right="383"/>
              <w:rPr>
                <w:rFonts w:ascii="Muli" w:eastAsia="Muli" w:hAnsi="Muli" w:cs="Muli"/>
                <w:sz w:val="20"/>
                <w:szCs w:val="20"/>
              </w:rPr>
            </w:pPr>
            <w:r>
              <w:rPr>
                <w:rFonts w:ascii="Muli" w:eastAsia="Muli" w:hAnsi="Muli" w:cs="Muli"/>
                <w:noProof/>
                <w:sz w:val="20"/>
                <w:szCs w:val="20"/>
              </w:rPr>
              <w:drawing>
                <wp:inline distT="114300" distB="114300" distL="114300" distR="114300" wp14:anchorId="27E093F4" wp14:editId="6D98C26B">
                  <wp:extent cx="2652713" cy="2805581"/>
                  <wp:effectExtent l="0" t="0" r="0" b="0"/>
                  <wp:docPr id="6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a:srcRect/>
                          <a:stretch>
                            <a:fillRect/>
                          </a:stretch>
                        </pic:blipFill>
                        <pic:spPr>
                          <a:xfrm>
                            <a:off x="0" y="0"/>
                            <a:ext cx="2652713" cy="2805581"/>
                          </a:xfrm>
                          <a:prstGeom prst="rect">
                            <a:avLst/>
                          </a:prstGeom>
                          <a:ln/>
                        </pic:spPr>
                      </pic:pic>
                    </a:graphicData>
                  </a:graphic>
                </wp:inline>
              </w:drawing>
            </w:r>
          </w:p>
          <w:p w14:paraId="2477B782"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Prior Knowledge Read-Aloud (DQ1L2 TE p. 20)</w:t>
            </w:r>
          </w:p>
          <w:p w14:paraId="1FC7B35F" w14:textId="77777777" w:rsidR="00456479" w:rsidRDefault="00456479">
            <w:pPr>
              <w:pStyle w:val="normal0"/>
              <w:ind w:left="90"/>
              <w:rPr>
                <w:rFonts w:ascii="Muli" w:eastAsia="Muli" w:hAnsi="Muli" w:cs="Muli"/>
                <w:b/>
                <w:color w:val="FF126D"/>
                <w:sz w:val="20"/>
                <w:szCs w:val="20"/>
              </w:rPr>
            </w:pPr>
          </w:p>
          <w:p w14:paraId="4B38FF61"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867675A" wp14:editId="51F4B180">
                  <wp:extent cx="2881313" cy="1472269"/>
                  <wp:effectExtent l="12700" t="12700" r="12700" b="12700"/>
                  <wp:docPr id="3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7"/>
                          <a:srcRect/>
                          <a:stretch>
                            <a:fillRect/>
                          </a:stretch>
                        </pic:blipFill>
                        <pic:spPr>
                          <a:xfrm>
                            <a:off x="0" y="0"/>
                            <a:ext cx="2881313" cy="1472269"/>
                          </a:xfrm>
                          <a:prstGeom prst="rect">
                            <a:avLst/>
                          </a:prstGeom>
                          <a:ln w="12700">
                            <a:solidFill>
                              <a:srgbClr val="D9D9D9"/>
                            </a:solidFill>
                            <a:prstDash val="solid"/>
                          </a:ln>
                        </pic:spPr>
                      </pic:pic>
                    </a:graphicData>
                  </a:graphic>
                </wp:inline>
              </w:drawing>
            </w:r>
          </w:p>
          <w:p w14:paraId="64AA0B18" w14:textId="77777777" w:rsidR="00456479" w:rsidRDefault="00267ACA">
            <w:pPr>
              <w:pStyle w:val="normal0"/>
              <w:ind w:left="180"/>
              <w:rPr>
                <w:rFonts w:ascii="Muli" w:eastAsia="Muli" w:hAnsi="Muli" w:cs="Muli"/>
                <w:b/>
                <w:color w:val="FF126D"/>
                <w:sz w:val="20"/>
                <w:szCs w:val="20"/>
              </w:rPr>
            </w:pPr>
            <w:r>
              <w:rPr>
                <w:rFonts w:ascii="Muli" w:eastAsia="Muli" w:hAnsi="Muli" w:cs="Muli"/>
                <w:b/>
                <w:color w:val="FF126D"/>
                <w:sz w:val="20"/>
                <w:szCs w:val="20"/>
              </w:rPr>
              <w:t>DQ3L5 TE p. 220</w:t>
            </w:r>
          </w:p>
        </w:tc>
      </w:tr>
      <w:tr w:rsidR="00456479" w14:paraId="7E663EE6" w14:textId="77777777">
        <w:trPr>
          <w:trHeight w:val="4140"/>
        </w:trPr>
        <w:tc>
          <w:tcPr>
            <w:tcW w:w="9390" w:type="dxa"/>
            <w:vMerge w:val="restart"/>
          </w:tcPr>
          <w:p w14:paraId="2F29CD41" w14:textId="77777777" w:rsidR="00456479" w:rsidRDefault="00267ACA" w:rsidP="00ED15A9">
            <w:pPr>
              <w:pStyle w:val="normal0"/>
              <w:rPr>
                <w:rFonts w:ascii="Muli" w:eastAsia="Muli" w:hAnsi="Muli" w:cs="Muli"/>
                <w:color w:val="FF126D"/>
                <w:sz w:val="20"/>
                <w:szCs w:val="20"/>
                <w:shd w:val="clear" w:color="auto" w:fill="F4CCCC"/>
              </w:rPr>
            </w:pPr>
            <w:r>
              <w:rPr>
                <w:rFonts w:ascii="Muli" w:eastAsia="Muli" w:hAnsi="Muli" w:cs="Muli"/>
                <w:b/>
                <w:color w:val="FF126D"/>
                <w:sz w:val="20"/>
                <w:szCs w:val="20"/>
              </w:rPr>
              <w:lastRenderedPageBreak/>
              <w:t>Evidence</w:t>
            </w:r>
          </w:p>
          <w:p w14:paraId="71B3F793"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t>Students engage with a Prior Knowledge Read-Aloud</w:t>
            </w:r>
            <w:r>
              <w:rPr>
                <w:rFonts w:ascii="Muli" w:eastAsia="Muli" w:hAnsi="Muli" w:cs="Muli"/>
                <w:sz w:val="20"/>
                <w:szCs w:val="20"/>
              </w:rPr>
              <w:t xml:space="preserve"> about how living things adapt to their environments and are affected by environmental changes </w:t>
            </w:r>
            <w:r>
              <w:rPr>
                <w:rFonts w:ascii="Muli" w:eastAsia="Muli" w:hAnsi="Muli" w:cs="Muli"/>
                <w:b/>
                <w:color w:val="FF126D"/>
                <w:sz w:val="20"/>
                <w:szCs w:val="20"/>
              </w:rPr>
              <w:t>(DQL1 Survival PKRA p. 19, DQ1L2 TE p. 20)</w:t>
            </w:r>
            <w:r>
              <w:rPr>
                <w:rFonts w:ascii="Muli" w:eastAsia="Muli" w:hAnsi="Muli" w:cs="Muli"/>
                <w:sz w:val="20"/>
                <w:szCs w:val="20"/>
              </w:rPr>
              <w:t>.</w:t>
            </w:r>
          </w:p>
        </w:tc>
        <w:tc>
          <w:tcPr>
            <w:tcW w:w="4800" w:type="dxa"/>
            <w:vMerge w:val="restart"/>
          </w:tcPr>
          <w:p w14:paraId="202DAEC0"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34A521E" wp14:editId="453D21D7">
                  <wp:extent cx="2890838" cy="1948370"/>
                  <wp:effectExtent l="12700" t="12700" r="12700" b="12700"/>
                  <wp:docPr id="3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2890838" cy="1948370"/>
                          </a:xfrm>
                          <a:prstGeom prst="rect">
                            <a:avLst/>
                          </a:prstGeom>
                          <a:ln w="12700">
                            <a:solidFill>
                              <a:srgbClr val="CCCCCC"/>
                            </a:solidFill>
                            <a:prstDash val="solid"/>
                          </a:ln>
                        </pic:spPr>
                      </pic:pic>
                    </a:graphicData>
                  </a:graphic>
                </wp:inline>
              </w:drawing>
            </w:r>
          </w:p>
          <w:p w14:paraId="1395C868"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DQL1 Survival PKRA p. 19</w:t>
            </w:r>
          </w:p>
          <w:p w14:paraId="7435EA49" w14:textId="77777777" w:rsidR="00456479" w:rsidRDefault="00456479">
            <w:pPr>
              <w:pStyle w:val="normal0"/>
              <w:ind w:left="90"/>
              <w:rPr>
                <w:rFonts w:ascii="Muli" w:eastAsia="Muli" w:hAnsi="Muli" w:cs="Muli"/>
                <w:b/>
                <w:color w:val="FF126D"/>
                <w:sz w:val="20"/>
                <w:szCs w:val="20"/>
              </w:rPr>
            </w:pPr>
          </w:p>
          <w:p w14:paraId="5369EEAD"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547FFE2" wp14:editId="46306595">
                  <wp:extent cx="2619375" cy="2771775"/>
                  <wp:effectExtent l="0" t="0" r="0" b="0"/>
                  <wp:docPr id="5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2619375" cy="2771775"/>
                          </a:xfrm>
                          <a:prstGeom prst="rect">
                            <a:avLst/>
                          </a:prstGeom>
                          <a:ln/>
                        </pic:spPr>
                      </pic:pic>
                    </a:graphicData>
                  </a:graphic>
                </wp:inline>
              </w:drawing>
            </w:r>
          </w:p>
          <w:p w14:paraId="21F63BF1" w14:textId="77777777" w:rsidR="00456479" w:rsidRDefault="00267ACA">
            <w:pPr>
              <w:pStyle w:val="normal0"/>
              <w:ind w:firstLine="180"/>
              <w:rPr>
                <w:rFonts w:ascii="Muli" w:eastAsia="Muli" w:hAnsi="Muli" w:cs="Muli"/>
                <w:b/>
                <w:color w:val="FF126D"/>
                <w:sz w:val="20"/>
                <w:szCs w:val="20"/>
              </w:rPr>
            </w:pPr>
            <w:r>
              <w:rPr>
                <w:rFonts w:ascii="Muli" w:eastAsia="Muli" w:hAnsi="Muli" w:cs="Muli"/>
                <w:b/>
                <w:color w:val="FF126D"/>
                <w:sz w:val="20"/>
                <w:szCs w:val="20"/>
              </w:rPr>
              <w:t>DQ1L2 TE p. 20</w:t>
            </w:r>
          </w:p>
        </w:tc>
      </w:tr>
      <w:tr w:rsidR="00456479" w14:paraId="18812092" w14:textId="77777777" w:rsidTr="00ED15A9">
        <w:trPr>
          <w:trHeight w:val="5888"/>
        </w:trPr>
        <w:tc>
          <w:tcPr>
            <w:tcW w:w="9390" w:type="dxa"/>
            <w:vMerge/>
          </w:tcPr>
          <w:p w14:paraId="33880028" w14:textId="77777777" w:rsidR="00456479" w:rsidRDefault="00456479">
            <w:pPr>
              <w:pStyle w:val="normal0"/>
              <w:rPr>
                <w:rFonts w:ascii="Muli" w:eastAsia="Muli" w:hAnsi="Muli" w:cs="Muli"/>
                <w:b/>
                <w:sz w:val="20"/>
                <w:szCs w:val="20"/>
              </w:rPr>
            </w:pPr>
          </w:p>
        </w:tc>
        <w:tc>
          <w:tcPr>
            <w:tcW w:w="4800" w:type="dxa"/>
            <w:vMerge/>
          </w:tcPr>
          <w:p w14:paraId="037AC917" w14:textId="77777777" w:rsidR="00456479" w:rsidRDefault="00456479">
            <w:pPr>
              <w:pStyle w:val="normal0"/>
              <w:ind w:right="383"/>
              <w:rPr>
                <w:rFonts w:ascii="Muli" w:eastAsia="Muli" w:hAnsi="Muli" w:cs="Muli"/>
                <w:sz w:val="20"/>
                <w:szCs w:val="20"/>
              </w:rPr>
            </w:pPr>
          </w:p>
        </w:tc>
      </w:tr>
      <w:tr w:rsidR="00456479" w14:paraId="78C07213" w14:textId="77777777">
        <w:trPr>
          <w:trHeight w:val="600"/>
        </w:trPr>
        <w:tc>
          <w:tcPr>
            <w:tcW w:w="9390" w:type="dxa"/>
            <w:vMerge w:val="restart"/>
          </w:tcPr>
          <w:p w14:paraId="2CCB30C5"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lastRenderedPageBreak/>
              <w:t>Students complete Pre-Explorations (diagnostic pre-assessments) to elicit awareness of their prior knowledge and misconceptions (</w:t>
            </w:r>
            <w:r>
              <w:rPr>
                <w:rFonts w:ascii="Muli" w:eastAsia="Muli" w:hAnsi="Muli" w:cs="Muli"/>
                <w:b/>
                <w:color w:val="FF126D"/>
                <w:sz w:val="20"/>
                <w:szCs w:val="20"/>
              </w:rPr>
              <w:t>DQ1L1 TB p. 4</w:t>
            </w:r>
            <w:r>
              <w:rPr>
                <w:rFonts w:ascii="Muli" w:eastAsia="Muli" w:hAnsi="Muli" w:cs="Muli"/>
                <w:sz w:val="20"/>
                <w:szCs w:val="20"/>
              </w:rPr>
              <w:t xml:space="preserve">, DQ2L1 TB p. 54, and </w:t>
            </w:r>
            <w:r>
              <w:rPr>
                <w:rFonts w:ascii="Muli" w:eastAsia="Muli" w:hAnsi="Muli" w:cs="Muli"/>
                <w:b/>
                <w:color w:val="FF126D"/>
                <w:sz w:val="20"/>
                <w:szCs w:val="20"/>
              </w:rPr>
              <w:t>DQ3L1 TB p. 90</w:t>
            </w:r>
            <w:r>
              <w:rPr>
                <w:rFonts w:ascii="Muli" w:eastAsia="Muli" w:hAnsi="Muli" w:cs="Muli"/>
                <w:sz w:val="20"/>
                <w:szCs w:val="20"/>
              </w:rPr>
              <w:t xml:space="preserve">). </w:t>
            </w:r>
          </w:p>
          <w:p w14:paraId="0A1AC418" w14:textId="77777777" w:rsidR="00456479" w:rsidRDefault="00456479">
            <w:pPr>
              <w:pStyle w:val="normal0"/>
              <w:rPr>
                <w:rFonts w:ascii="Muli" w:eastAsia="Muli" w:hAnsi="Muli" w:cs="Muli"/>
                <w:b/>
                <w:sz w:val="20"/>
                <w:szCs w:val="20"/>
              </w:rPr>
            </w:pPr>
          </w:p>
        </w:tc>
        <w:tc>
          <w:tcPr>
            <w:tcW w:w="4800" w:type="dxa"/>
            <w:vMerge w:val="restart"/>
          </w:tcPr>
          <w:p w14:paraId="3FE18DFB"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49B5CEDC" wp14:editId="5ECD9D92">
                  <wp:extent cx="2890838" cy="2319920"/>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2890838" cy="2319920"/>
                          </a:xfrm>
                          <a:prstGeom prst="rect">
                            <a:avLst/>
                          </a:prstGeom>
                          <a:ln/>
                        </pic:spPr>
                      </pic:pic>
                    </a:graphicData>
                  </a:graphic>
                </wp:inline>
              </w:drawing>
            </w:r>
          </w:p>
          <w:p w14:paraId="4B10B80A"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DQ1L1 TB p. 4</w:t>
            </w:r>
          </w:p>
          <w:p w14:paraId="5B713A03" w14:textId="77777777" w:rsidR="00456479" w:rsidRDefault="00456479">
            <w:pPr>
              <w:pStyle w:val="normal0"/>
              <w:ind w:left="90"/>
              <w:rPr>
                <w:rFonts w:ascii="Muli" w:eastAsia="Muli" w:hAnsi="Muli" w:cs="Muli"/>
                <w:b/>
                <w:color w:val="FF126D"/>
                <w:sz w:val="20"/>
                <w:szCs w:val="20"/>
              </w:rPr>
            </w:pPr>
          </w:p>
          <w:p w14:paraId="21CB71E3"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122C71A" wp14:editId="7E3CFAD8">
                  <wp:extent cx="2890838" cy="1185985"/>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2890838" cy="1185985"/>
                          </a:xfrm>
                          <a:prstGeom prst="rect">
                            <a:avLst/>
                          </a:prstGeom>
                          <a:ln/>
                        </pic:spPr>
                      </pic:pic>
                    </a:graphicData>
                  </a:graphic>
                </wp:inline>
              </w:drawing>
            </w:r>
          </w:p>
          <w:p w14:paraId="14DCE16B"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DQ3L1 TB p. 90</w:t>
            </w:r>
          </w:p>
        </w:tc>
      </w:tr>
      <w:tr w:rsidR="00456479" w14:paraId="01309E8B" w14:textId="77777777">
        <w:trPr>
          <w:trHeight w:val="600"/>
        </w:trPr>
        <w:tc>
          <w:tcPr>
            <w:tcW w:w="9390" w:type="dxa"/>
            <w:vMerge/>
          </w:tcPr>
          <w:p w14:paraId="09E5498D" w14:textId="77777777" w:rsidR="00456479" w:rsidRDefault="00456479">
            <w:pPr>
              <w:pStyle w:val="normal0"/>
              <w:rPr>
                <w:rFonts w:ascii="Muli" w:eastAsia="Muli" w:hAnsi="Muli" w:cs="Muli"/>
                <w:b/>
                <w:sz w:val="20"/>
                <w:szCs w:val="20"/>
              </w:rPr>
            </w:pPr>
          </w:p>
        </w:tc>
        <w:tc>
          <w:tcPr>
            <w:tcW w:w="4800" w:type="dxa"/>
            <w:vMerge/>
          </w:tcPr>
          <w:p w14:paraId="3C43696F" w14:textId="77777777" w:rsidR="00456479" w:rsidRDefault="00456479">
            <w:pPr>
              <w:pStyle w:val="normal0"/>
              <w:ind w:right="383"/>
              <w:rPr>
                <w:rFonts w:ascii="Muli" w:eastAsia="Muli" w:hAnsi="Muli" w:cs="Muli"/>
                <w:sz w:val="20"/>
                <w:szCs w:val="20"/>
              </w:rPr>
            </w:pPr>
          </w:p>
        </w:tc>
      </w:tr>
      <w:tr w:rsidR="00456479" w14:paraId="343845CA" w14:textId="77777777">
        <w:trPr>
          <w:trHeight w:val="5420"/>
        </w:trPr>
        <w:tc>
          <w:tcPr>
            <w:tcW w:w="9390" w:type="dxa"/>
            <w:vMerge/>
          </w:tcPr>
          <w:p w14:paraId="413EFE75" w14:textId="77777777" w:rsidR="00456479" w:rsidRDefault="00456479">
            <w:pPr>
              <w:pStyle w:val="normal0"/>
              <w:rPr>
                <w:rFonts w:ascii="Muli" w:eastAsia="Muli" w:hAnsi="Muli" w:cs="Muli"/>
                <w:b/>
                <w:sz w:val="20"/>
                <w:szCs w:val="20"/>
              </w:rPr>
            </w:pPr>
          </w:p>
        </w:tc>
        <w:tc>
          <w:tcPr>
            <w:tcW w:w="4800" w:type="dxa"/>
            <w:vMerge/>
          </w:tcPr>
          <w:p w14:paraId="28B49EAE" w14:textId="77777777" w:rsidR="00456479" w:rsidRDefault="00456479">
            <w:pPr>
              <w:pStyle w:val="normal0"/>
              <w:ind w:right="383"/>
              <w:rPr>
                <w:rFonts w:ascii="Muli" w:eastAsia="Muli" w:hAnsi="Muli" w:cs="Muli"/>
                <w:sz w:val="20"/>
                <w:szCs w:val="20"/>
              </w:rPr>
            </w:pPr>
          </w:p>
        </w:tc>
      </w:tr>
      <w:tr w:rsidR="00456479" w14:paraId="76A56EFF" w14:textId="77777777">
        <w:trPr>
          <w:trHeight w:val="600"/>
        </w:trPr>
        <w:tc>
          <w:tcPr>
            <w:tcW w:w="9390" w:type="dxa"/>
          </w:tcPr>
          <w:p w14:paraId="6DDA2248"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t xml:space="preserve">Students revisit “Analyze and interpret data” (SEP-4) on their Science Tools poster </w:t>
            </w:r>
            <w:r>
              <w:rPr>
                <w:rFonts w:ascii="Muli" w:eastAsia="Muli" w:hAnsi="Muli" w:cs="Muli"/>
                <w:b/>
                <w:color w:val="FF126D"/>
                <w:sz w:val="20"/>
                <w:szCs w:val="20"/>
              </w:rPr>
              <w:t>(DQ1L5 TE p. 47)</w:t>
            </w:r>
            <w:r>
              <w:rPr>
                <w:rFonts w:ascii="Muli" w:eastAsia="Muli" w:hAnsi="Muli" w:cs="Muli"/>
                <w:sz w:val="20"/>
                <w:szCs w:val="20"/>
              </w:rPr>
              <w:t>.</w:t>
            </w:r>
          </w:p>
        </w:tc>
        <w:tc>
          <w:tcPr>
            <w:tcW w:w="4800" w:type="dxa"/>
          </w:tcPr>
          <w:p w14:paraId="6462246E"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04703ED6" wp14:editId="61274FB6">
                  <wp:extent cx="2833688" cy="879420"/>
                  <wp:effectExtent l="12700" t="12700" r="12700" b="12700"/>
                  <wp:docPr id="6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2833688" cy="879420"/>
                          </a:xfrm>
                          <a:prstGeom prst="rect">
                            <a:avLst/>
                          </a:prstGeom>
                          <a:ln w="12700">
                            <a:solidFill>
                              <a:srgbClr val="CCCCCC"/>
                            </a:solidFill>
                            <a:prstDash val="solid"/>
                          </a:ln>
                        </pic:spPr>
                      </pic:pic>
                    </a:graphicData>
                  </a:graphic>
                </wp:inline>
              </w:drawing>
            </w:r>
          </w:p>
          <w:p w14:paraId="241C8EF7"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DQ1L5 TE p. 47</w:t>
            </w:r>
          </w:p>
        </w:tc>
      </w:tr>
      <w:tr w:rsidR="00456479" w14:paraId="541A7F46" w14:textId="77777777">
        <w:trPr>
          <w:trHeight w:val="2340"/>
        </w:trPr>
        <w:tc>
          <w:tcPr>
            <w:tcW w:w="9390" w:type="dxa"/>
          </w:tcPr>
          <w:p w14:paraId="43A0219A"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lastRenderedPageBreak/>
              <w:t>Students revise their model of how genes and traits are passed from butterfly parents to offspring, or describe a way they could change their model</w:t>
            </w:r>
            <w:r>
              <w:rPr>
                <w:rFonts w:ascii="Muli" w:eastAsia="Muli" w:hAnsi="Muli" w:cs="Muli"/>
                <w:b/>
                <w:color w:val="FF126D"/>
                <w:sz w:val="20"/>
                <w:szCs w:val="20"/>
              </w:rPr>
              <w:t xml:space="preserve"> (DQ2L8 TE p. 161)</w:t>
            </w:r>
            <w:r>
              <w:rPr>
                <w:rFonts w:ascii="Muli" w:eastAsia="Muli" w:hAnsi="Muli" w:cs="Muli"/>
                <w:sz w:val="20"/>
                <w:szCs w:val="20"/>
              </w:rPr>
              <w:t>.</w:t>
            </w:r>
          </w:p>
        </w:tc>
        <w:tc>
          <w:tcPr>
            <w:tcW w:w="4800" w:type="dxa"/>
          </w:tcPr>
          <w:p w14:paraId="7135D940"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3C29ED42" wp14:editId="2F7FC549">
                  <wp:extent cx="2909888" cy="1194969"/>
                  <wp:effectExtent l="12700" t="12700" r="12700" b="12700"/>
                  <wp:docPr id="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909888" cy="1194969"/>
                          </a:xfrm>
                          <a:prstGeom prst="rect">
                            <a:avLst/>
                          </a:prstGeom>
                          <a:ln w="12700">
                            <a:solidFill>
                              <a:srgbClr val="CCCCCC"/>
                            </a:solidFill>
                            <a:prstDash val="solid"/>
                          </a:ln>
                        </pic:spPr>
                      </pic:pic>
                    </a:graphicData>
                  </a:graphic>
                </wp:inline>
              </w:drawing>
            </w:r>
          </w:p>
          <w:p w14:paraId="39DC50F4"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DQ2L8 TE p. 161</w:t>
            </w:r>
          </w:p>
        </w:tc>
      </w:tr>
      <w:tr w:rsidR="00456479" w14:paraId="34D6C4FB" w14:textId="77777777">
        <w:trPr>
          <w:trHeight w:val="600"/>
        </w:trPr>
        <w:tc>
          <w:tcPr>
            <w:tcW w:w="14190" w:type="dxa"/>
            <w:gridSpan w:val="2"/>
            <w:shd w:val="clear" w:color="auto" w:fill="D9D9D9"/>
          </w:tcPr>
          <w:p w14:paraId="17918A15" w14:textId="77777777" w:rsidR="00456479" w:rsidRDefault="00267ACA">
            <w:pPr>
              <w:pStyle w:val="normal0"/>
              <w:spacing w:before="1" w:line="242" w:lineRule="auto"/>
              <w:ind w:left="180" w:right="105"/>
              <w:rPr>
                <w:rFonts w:ascii="Muli" w:eastAsia="Muli" w:hAnsi="Muli" w:cs="Muli"/>
                <w:color w:val="2F5496"/>
                <w:sz w:val="20"/>
                <w:szCs w:val="20"/>
              </w:rPr>
            </w:pPr>
            <w:r>
              <w:rPr>
                <w:rFonts w:ascii="Muli" w:eastAsia="Muli" w:hAnsi="Muli" w:cs="Muli"/>
                <w:b/>
                <w:color w:val="2F5496"/>
                <w:sz w:val="20"/>
                <w:szCs w:val="20"/>
              </w:rPr>
              <w:t>SW4. Metacognitive Abilities</w:t>
            </w:r>
            <w:r>
              <w:rPr>
                <w:rFonts w:ascii="Muli" w:eastAsia="Muli" w:hAnsi="Muli" w:cs="Muli"/>
                <w:color w:val="2F5496"/>
                <w:sz w:val="20"/>
                <w:szCs w:val="20"/>
              </w:rPr>
              <w:t>.</w:t>
            </w:r>
          </w:p>
          <w:p w14:paraId="456AFF73" w14:textId="77777777" w:rsidR="00456479" w:rsidRDefault="00267ACA">
            <w:pPr>
              <w:pStyle w:val="normal0"/>
              <w:spacing w:before="1"/>
              <w:ind w:left="180" w:right="105"/>
              <w:rPr>
                <w:rFonts w:ascii="Muli" w:eastAsia="Muli" w:hAnsi="Muli" w:cs="Muli"/>
                <w:b/>
                <w:color w:val="2F5496"/>
                <w:sz w:val="20"/>
                <w:szCs w:val="20"/>
              </w:rPr>
            </w:pPr>
            <w:r>
              <w:rPr>
                <w:rFonts w:ascii="Muli" w:eastAsia="Muli" w:hAnsi="Muli" w:cs="Muli"/>
                <w:sz w:val="20"/>
                <w:szCs w:val="20"/>
              </w:rPr>
              <w:t>The Ultimate Playground regularly provides students with explicit opportunities to consider how their learning experiences  have changed their thinking.</w:t>
            </w:r>
          </w:p>
        </w:tc>
      </w:tr>
      <w:tr w:rsidR="00456479" w14:paraId="509AC943" w14:textId="77777777">
        <w:trPr>
          <w:trHeight w:val="295"/>
        </w:trPr>
        <w:tc>
          <w:tcPr>
            <w:tcW w:w="14190" w:type="dxa"/>
            <w:gridSpan w:val="2"/>
            <w:vMerge w:val="restart"/>
          </w:tcPr>
          <w:p w14:paraId="2E4FA1BC" w14:textId="77777777" w:rsidR="00456479" w:rsidRDefault="00456479">
            <w:pPr>
              <w:pStyle w:val="normal0"/>
              <w:spacing w:before="1"/>
              <w:ind w:left="114" w:right="280"/>
              <w:rPr>
                <w:rFonts w:ascii="Muli" w:eastAsia="Muli" w:hAnsi="Muli" w:cs="Muli"/>
                <w:sz w:val="20"/>
                <w:szCs w:val="20"/>
              </w:rPr>
            </w:pPr>
          </w:p>
          <w:p w14:paraId="3FFC66E3" w14:textId="77777777" w:rsidR="00456479" w:rsidRDefault="00267ACA">
            <w:pPr>
              <w:pStyle w:val="normal0"/>
              <w:ind w:left="180"/>
              <w:rPr>
                <w:rFonts w:ascii="Muli" w:eastAsia="Muli" w:hAnsi="Muli" w:cs="Muli"/>
                <w:sz w:val="20"/>
                <w:szCs w:val="20"/>
              </w:rPr>
            </w:pPr>
            <w:r>
              <w:rPr>
                <w:rFonts w:ascii="Muli" w:eastAsia="Muli" w:hAnsi="Muli" w:cs="Muli"/>
                <w:sz w:val="20"/>
                <w:szCs w:val="20"/>
              </w:rPr>
              <w:t xml:space="preserve">Diagnostic pre-assessments (Pre-Explorations) in DQ1L1, DQ2L1, and DQ3L1 support students to think about the three dimensions they are already familiar with and those they are not. </w:t>
            </w:r>
          </w:p>
          <w:p w14:paraId="5103F824" w14:textId="77777777" w:rsidR="00456479" w:rsidRDefault="00456479">
            <w:pPr>
              <w:pStyle w:val="normal0"/>
              <w:ind w:left="180"/>
              <w:rPr>
                <w:rFonts w:ascii="Muli" w:eastAsia="Muli" w:hAnsi="Muli" w:cs="Muli"/>
                <w:sz w:val="20"/>
                <w:szCs w:val="20"/>
                <w:shd w:val="clear" w:color="auto" w:fill="F4CCCC"/>
              </w:rPr>
            </w:pPr>
          </w:p>
          <w:p w14:paraId="20536994" w14:textId="77777777" w:rsidR="00456479" w:rsidRDefault="00267ACA">
            <w:pPr>
              <w:pStyle w:val="normal0"/>
              <w:ind w:left="180"/>
              <w:rPr>
                <w:rFonts w:ascii="Muli" w:eastAsia="Muli" w:hAnsi="Muli" w:cs="Muli"/>
                <w:color w:val="FF0000"/>
                <w:sz w:val="20"/>
                <w:szCs w:val="20"/>
              </w:rPr>
            </w:pPr>
            <w:r>
              <w:rPr>
                <w:rFonts w:ascii="Muli" w:eastAsia="Muli" w:hAnsi="Muli" w:cs="Muli"/>
                <w:sz w:val="20"/>
                <w:szCs w:val="20"/>
              </w:rPr>
              <w:t>Meta-Think-Aloud language routines help students develop an understanding</w:t>
            </w:r>
            <w:r>
              <w:rPr>
                <w:rFonts w:ascii="Muli" w:eastAsia="Muli" w:hAnsi="Muli" w:cs="Muli"/>
                <w:sz w:val="20"/>
                <w:szCs w:val="20"/>
              </w:rPr>
              <w:t xml:space="preserve"> of how they learn particular concepts or why they approach activities in certain ways. </w:t>
            </w:r>
          </w:p>
          <w:p w14:paraId="3B0606D7" w14:textId="77777777" w:rsidR="00456479" w:rsidRDefault="00456479">
            <w:pPr>
              <w:pStyle w:val="normal0"/>
              <w:ind w:left="180"/>
              <w:rPr>
                <w:rFonts w:ascii="Muli" w:eastAsia="Muli" w:hAnsi="Muli" w:cs="Muli"/>
                <w:sz w:val="20"/>
                <w:szCs w:val="20"/>
                <w:shd w:val="clear" w:color="auto" w:fill="F4CCCC"/>
              </w:rPr>
            </w:pPr>
          </w:p>
          <w:p w14:paraId="71414928" w14:textId="77777777" w:rsidR="00456479" w:rsidRDefault="00267ACA">
            <w:pPr>
              <w:pStyle w:val="normal0"/>
              <w:ind w:left="180"/>
              <w:rPr>
                <w:rFonts w:ascii="Muli" w:eastAsia="Muli" w:hAnsi="Muli" w:cs="Muli"/>
                <w:color w:val="FF0000"/>
                <w:sz w:val="20"/>
                <w:szCs w:val="20"/>
              </w:rPr>
            </w:pPr>
            <w:r>
              <w:rPr>
                <w:rFonts w:ascii="Muli" w:eastAsia="Muli" w:hAnsi="Muli" w:cs="Muli"/>
                <w:sz w:val="20"/>
                <w:szCs w:val="20"/>
              </w:rPr>
              <w:t>'I Can’ statements written in grade-appropriate language are detailed for each Driving Question, supporting student awareness of their growing skills and knowledge an</w:t>
            </w:r>
            <w:r>
              <w:rPr>
                <w:rFonts w:ascii="Muli" w:eastAsia="Muli" w:hAnsi="Muli" w:cs="Muli"/>
                <w:sz w:val="20"/>
                <w:szCs w:val="20"/>
              </w:rPr>
              <w:t>d of the three dimensions that they will use to figure out phenomenon/solve problems.</w:t>
            </w:r>
          </w:p>
          <w:p w14:paraId="70A088AD" w14:textId="77777777" w:rsidR="00456479" w:rsidRDefault="00456479">
            <w:pPr>
              <w:pStyle w:val="normal0"/>
              <w:ind w:left="180"/>
              <w:rPr>
                <w:rFonts w:ascii="Muli" w:eastAsia="Muli" w:hAnsi="Muli" w:cs="Muli"/>
                <w:sz w:val="20"/>
                <w:szCs w:val="20"/>
                <w:shd w:val="clear" w:color="auto" w:fill="F4CCCC"/>
              </w:rPr>
            </w:pPr>
          </w:p>
          <w:p w14:paraId="59A84C82" w14:textId="77777777" w:rsidR="00456479" w:rsidRDefault="00267ACA">
            <w:pPr>
              <w:pStyle w:val="normal0"/>
              <w:ind w:left="180" w:right="135"/>
              <w:rPr>
                <w:rFonts w:ascii="Muli" w:eastAsia="Muli" w:hAnsi="Muli" w:cs="Muli"/>
                <w:sz w:val="20"/>
                <w:szCs w:val="20"/>
              </w:rPr>
            </w:pPr>
            <w:r>
              <w:rPr>
                <w:rFonts w:ascii="Muli" w:eastAsia="Muli" w:hAnsi="Muli" w:cs="Muli"/>
                <w:sz w:val="20"/>
                <w:szCs w:val="20"/>
              </w:rPr>
              <w:t xml:space="preserve">The five-part Twig Science lesson structure has been designed to support students to monitor </w:t>
            </w:r>
            <w:r>
              <w:rPr>
                <w:rFonts w:ascii="Muli" w:eastAsia="Muli" w:hAnsi="Muli" w:cs="Muli"/>
                <w:b/>
                <w:sz w:val="20"/>
                <w:szCs w:val="20"/>
              </w:rPr>
              <w:t xml:space="preserve">what </w:t>
            </w:r>
            <w:r>
              <w:rPr>
                <w:rFonts w:ascii="Muli" w:eastAsia="Muli" w:hAnsi="Muli" w:cs="Muli"/>
                <w:sz w:val="20"/>
                <w:szCs w:val="20"/>
              </w:rPr>
              <w:t xml:space="preserve">and </w:t>
            </w:r>
            <w:r>
              <w:rPr>
                <w:rFonts w:ascii="Muli" w:eastAsia="Muli" w:hAnsi="Muli" w:cs="Muli"/>
                <w:b/>
                <w:sz w:val="20"/>
                <w:szCs w:val="20"/>
              </w:rPr>
              <w:t xml:space="preserve">how </w:t>
            </w:r>
            <w:r>
              <w:rPr>
                <w:rFonts w:ascii="Muli" w:eastAsia="Muli" w:hAnsi="Muli" w:cs="Muli"/>
                <w:sz w:val="20"/>
                <w:szCs w:val="20"/>
              </w:rPr>
              <w:t>they have learned across the three dimensions on a daily basis.</w:t>
            </w:r>
            <w:r>
              <w:rPr>
                <w:rFonts w:ascii="Muli" w:eastAsia="Muli" w:hAnsi="Muli" w:cs="Muli"/>
                <w:sz w:val="20"/>
                <w:szCs w:val="20"/>
              </w:rPr>
              <w:t xml:space="preserve">  </w:t>
            </w:r>
          </w:p>
          <w:p w14:paraId="288BF437" w14:textId="77777777" w:rsidR="00456479" w:rsidRDefault="00456479">
            <w:pPr>
              <w:pStyle w:val="normal0"/>
              <w:ind w:left="180" w:right="135"/>
              <w:jc w:val="both"/>
              <w:rPr>
                <w:rFonts w:ascii="Muli" w:eastAsia="Muli" w:hAnsi="Muli" w:cs="Muli"/>
                <w:sz w:val="20"/>
                <w:szCs w:val="20"/>
              </w:rPr>
            </w:pPr>
          </w:p>
          <w:p w14:paraId="1C24A56B" w14:textId="77777777" w:rsidR="00456479" w:rsidRDefault="00267ACA">
            <w:pPr>
              <w:pStyle w:val="normal0"/>
              <w:ind w:left="180" w:right="135"/>
              <w:jc w:val="both"/>
              <w:rPr>
                <w:rFonts w:ascii="Muli" w:eastAsia="Muli" w:hAnsi="Muli" w:cs="Muli"/>
                <w:sz w:val="20"/>
                <w:szCs w:val="20"/>
              </w:rPr>
            </w:pPr>
            <w:r>
              <w:rPr>
                <w:rFonts w:ascii="Muli" w:eastAsia="Muli" w:hAnsi="Muli" w:cs="Muli"/>
                <w:b/>
                <w:sz w:val="20"/>
                <w:szCs w:val="20"/>
              </w:rPr>
              <w:t>Spark</w:t>
            </w:r>
            <w:r>
              <w:rPr>
                <w:rFonts w:ascii="Muli" w:eastAsia="Muli" w:hAnsi="Muli" w:cs="Muli"/>
                <w:sz w:val="20"/>
                <w:szCs w:val="20"/>
              </w:rPr>
              <w:t>: An engaging hook activity motivates students for the investigations ahead.</w:t>
            </w:r>
          </w:p>
          <w:p w14:paraId="44EABFA1" w14:textId="77777777" w:rsidR="00456479" w:rsidRDefault="00267ACA">
            <w:pPr>
              <w:pStyle w:val="normal0"/>
              <w:ind w:left="180" w:right="135"/>
              <w:jc w:val="both"/>
              <w:rPr>
                <w:rFonts w:ascii="Muli" w:eastAsia="Muli" w:hAnsi="Muli" w:cs="Muli"/>
                <w:sz w:val="20"/>
                <w:szCs w:val="20"/>
              </w:rPr>
            </w:pPr>
            <w:r>
              <w:rPr>
                <w:rFonts w:ascii="Muli" w:eastAsia="Muli" w:hAnsi="Muli" w:cs="Muli"/>
                <w:b/>
                <w:sz w:val="20"/>
                <w:szCs w:val="20"/>
              </w:rPr>
              <w:t>Investigate:</w:t>
            </w:r>
            <w:r>
              <w:rPr>
                <w:rFonts w:ascii="Muli" w:eastAsia="Muli" w:hAnsi="Muli" w:cs="Muli"/>
                <w:sz w:val="20"/>
                <w:szCs w:val="20"/>
              </w:rPr>
              <w:t xml:space="preserve"> Students think like scientists and design like engineers through hands-on, digital, video, and informational text investigations. </w:t>
            </w:r>
          </w:p>
          <w:p w14:paraId="7CC66172" w14:textId="77777777" w:rsidR="00456479" w:rsidRDefault="00267ACA">
            <w:pPr>
              <w:pStyle w:val="normal0"/>
              <w:ind w:left="180" w:right="135"/>
              <w:jc w:val="both"/>
              <w:rPr>
                <w:rFonts w:ascii="Muli" w:eastAsia="Muli" w:hAnsi="Muli" w:cs="Muli"/>
                <w:sz w:val="20"/>
                <w:szCs w:val="20"/>
              </w:rPr>
            </w:pPr>
            <w:r>
              <w:rPr>
                <w:rFonts w:ascii="Muli" w:eastAsia="Muli" w:hAnsi="Muli" w:cs="Muli"/>
                <w:b/>
                <w:sz w:val="20"/>
                <w:szCs w:val="20"/>
              </w:rPr>
              <w:t>Report:</w:t>
            </w:r>
            <w:r>
              <w:rPr>
                <w:rFonts w:ascii="Muli" w:eastAsia="Muli" w:hAnsi="Muli" w:cs="Muli"/>
                <w:sz w:val="20"/>
                <w:szCs w:val="20"/>
              </w:rPr>
              <w:t xml:space="preserve"> Students articulate what they’ve learned citing evidence and their use of the three dimensions.</w:t>
            </w:r>
          </w:p>
          <w:p w14:paraId="61954A13" w14:textId="77777777" w:rsidR="00456479" w:rsidRDefault="00267ACA">
            <w:pPr>
              <w:pStyle w:val="normal0"/>
              <w:ind w:left="180" w:right="135"/>
              <w:jc w:val="both"/>
              <w:rPr>
                <w:rFonts w:ascii="Muli" w:eastAsia="Muli" w:hAnsi="Muli" w:cs="Muli"/>
                <w:sz w:val="20"/>
                <w:szCs w:val="20"/>
              </w:rPr>
            </w:pPr>
            <w:r>
              <w:rPr>
                <w:rFonts w:ascii="Muli" w:eastAsia="Muli" w:hAnsi="Muli" w:cs="Muli"/>
                <w:b/>
                <w:sz w:val="20"/>
                <w:szCs w:val="20"/>
              </w:rPr>
              <w:t>Connect:</w:t>
            </w:r>
            <w:r>
              <w:rPr>
                <w:rFonts w:ascii="Muli" w:eastAsia="Muli" w:hAnsi="Muli" w:cs="Muli"/>
                <w:sz w:val="20"/>
                <w:szCs w:val="20"/>
              </w:rPr>
              <w:t xml:space="preserve"> Students make connections to the Driving Questions and Module Phenomenon while building knowledge of CCCs and SEPs.</w:t>
            </w:r>
          </w:p>
          <w:p w14:paraId="374797E4" w14:textId="77777777" w:rsidR="00456479" w:rsidRDefault="00267ACA">
            <w:pPr>
              <w:pStyle w:val="normal0"/>
              <w:ind w:left="180" w:right="105"/>
              <w:jc w:val="both"/>
              <w:rPr>
                <w:rFonts w:ascii="Muli" w:eastAsia="Muli" w:hAnsi="Muli" w:cs="Muli"/>
                <w:sz w:val="20"/>
                <w:szCs w:val="20"/>
              </w:rPr>
            </w:pPr>
            <w:r>
              <w:rPr>
                <w:rFonts w:ascii="Muli" w:eastAsia="Muli" w:hAnsi="Muli" w:cs="Muli"/>
                <w:b/>
                <w:sz w:val="20"/>
                <w:szCs w:val="20"/>
              </w:rPr>
              <w:t>Reflect:</w:t>
            </w:r>
            <w:r>
              <w:rPr>
                <w:rFonts w:ascii="Muli" w:eastAsia="Muli" w:hAnsi="Muli" w:cs="Muli"/>
                <w:sz w:val="20"/>
                <w:szCs w:val="20"/>
              </w:rPr>
              <w:t xml:space="preserve"> Here students use differe</w:t>
            </w:r>
            <w:r>
              <w:rPr>
                <w:rFonts w:ascii="Muli" w:eastAsia="Muli" w:hAnsi="Muli" w:cs="Muli"/>
                <w:sz w:val="20"/>
                <w:szCs w:val="20"/>
              </w:rPr>
              <w:t>nt means to think about what they have learned so far and how they can use their new understandings to better figure out phenomena/problems.</w:t>
            </w:r>
          </w:p>
        </w:tc>
      </w:tr>
      <w:tr w:rsidR="00456479" w14:paraId="61E6BBD3" w14:textId="77777777">
        <w:trPr>
          <w:trHeight w:val="600"/>
        </w:trPr>
        <w:tc>
          <w:tcPr>
            <w:tcW w:w="14190" w:type="dxa"/>
            <w:gridSpan w:val="2"/>
            <w:vMerge/>
          </w:tcPr>
          <w:p w14:paraId="5D27FB76" w14:textId="77777777" w:rsidR="00456479" w:rsidRDefault="00456479">
            <w:pPr>
              <w:pStyle w:val="normal0"/>
              <w:rPr>
                <w:rFonts w:ascii="Muli" w:eastAsia="Muli" w:hAnsi="Muli" w:cs="Muli"/>
                <w:sz w:val="20"/>
                <w:szCs w:val="20"/>
              </w:rPr>
            </w:pPr>
          </w:p>
        </w:tc>
      </w:tr>
      <w:tr w:rsidR="00456479" w14:paraId="53C72AF9" w14:textId="77777777">
        <w:trPr>
          <w:trHeight w:val="600"/>
        </w:trPr>
        <w:tc>
          <w:tcPr>
            <w:tcW w:w="14190" w:type="dxa"/>
            <w:gridSpan w:val="2"/>
            <w:vMerge/>
          </w:tcPr>
          <w:p w14:paraId="6BC0854F" w14:textId="77777777" w:rsidR="00456479" w:rsidRDefault="00456479">
            <w:pPr>
              <w:pStyle w:val="normal0"/>
              <w:rPr>
                <w:rFonts w:ascii="Muli" w:eastAsia="Muli" w:hAnsi="Muli" w:cs="Muli"/>
                <w:sz w:val="20"/>
                <w:szCs w:val="20"/>
              </w:rPr>
            </w:pPr>
          </w:p>
        </w:tc>
      </w:tr>
      <w:tr w:rsidR="00456479" w14:paraId="174861C4" w14:textId="77777777">
        <w:trPr>
          <w:trHeight w:val="420"/>
        </w:trPr>
        <w:tc>
          <w:tcPr>
            <w:tcW w:w="14190" w:type="dxa"/>
            <w:gridSpan w:val="2"/>
            <w:vMerge/>
          </w:tcPr>
          <w:p w14:paraId="1AC8754A" w14:textId="77777777" w:rsidR="00456479" w:rsidRDefault="00456479">
            <w:pPr>
              <w:pStyle w:val="normal0"/>
              <w:rPr>
                <w:rFonts w:ascii="Muli" w:eastAsia="Muli" w:hAnsi="Muli" w:cs="Muli"/>
                <w:sz w:val="20"/>
                <w:szCs w:val="20"/>
              </w:rPr>
            </w:pPr>
          </w:p>
        </w:tc>
      </w:tr>
      <w:tr w:rsidR="00456479" w14:paraId="26996E34" w14:textId="77777777">
        <w:trPr>
          <w:trHeight w:val="6660"/>
        </w:trPr>
        <w:tc>
          <w:tcPr>
            <w:tcW w:w="9390" w:type="dxa"/>
          </w:tcPr>
          <w:p w14:paraId="4EDB536D" w14:textId="77777777" w:rsidR="00456479" w:rsidRDefault="00267ACA">
            <w:pPr>
              <w:pStyle w:val="normal0"/>
              <w:ind w:left="180"/>
              <w:rPr>
                <w:rFonts w:ascii="Muli" w:eastAsia="Muli" w:hAnsi="Muli" w:cs="Muli"/>
                <w:b/>
                <w:sz w:val="20"/>
                <w:szCs w:val="20"/>
              </w:rPr>
            </w:pPr>
            <w:r>
              <w:rPr>
                <w:rFonts w:ascii="Muli" w:eastAsia="Muli" w:hAnsi="Muli" w:cs="Muli"/>
                <w:b/>
                <w:color w:val="FF126D"/>
                <w:sz w:val="20"/>
                <w:szCs w:val="20"/>
              </w:rPr>
              <w:lastRenderedPageBreak/>
              <w:t>Evidence</w:t>
            </w:r>
          </w:p>
          <w:p w14:paraId="4F1C516A" w14:textId="77777777" w:rsidR="00456479" w:rsidRDefault="00267ACA">
            <w:pPr>
              <w:pStyle w:val="normal0"/>
              <w:numPr>
                <w:ilvl w:val="0"/>
                <w:numId w:val="3"/>
              </w:numPr>
              <w:contextualSpacing/>
              <w:rPr>
                <w:rFonts w:ascii="Muli" w:eastAsia="Muli" w:hAnsi="Muli" w:cs="Muli"/>
                <w:sz w:val="20"/>
                <w:szCs w:val="20"/>
              </w:rPr>
            </w:pPr>
            <w:r>
              <w:rPr>
                <w:rFonts w:ascii="Muli" w:eastAsia="Muli" w:hAnsi="Muli" w:cs="Muli"/>
                <w:sz w:val="20"/>
                <w:szCs w:val="20"/>
              </w:rPr>
              <w:t>The ‘I Can’ statement details use of the three dimensions students will use in this Driving Question. “I can… create models to show my understanding of genes and chromosomes.” (</w:t>
            </w:r>
            <w:r>
              <w:rPr>
                <w:rFonts w:ascii="Muli" w:eastAsia="Muli" w:hAnsi="Muli" w:cs="Muli"/>
                <w:b/>
                <w:color w:val="FF126D"/>
                <w:sz w:val="20"/>
                <w:szCs w:val="20"/>
              </w:rPr>
              <w:t>DQ2 TB p. 50</w:t>
            </w:r>
            <w:r>
              <w:rPr>
                <w:rFonts w:ascii="Muli" w:eastAsia="Muli" w:hAnsi="Muli" w:cs="Muli"/>
                <w:sz w:val="20"/>
                <w:szCs w:val="20"/>
              </w:rPr>
              <w:t xml:space="preserve">) </w:t>
            </w:r>
          </w:p>
        </w:tc>
        <w:tc>
          <w:tcPr>
            <w:tcW w:w="4800" w:type="dxa"/>
          </w:tcPr>
          <w:p w14:paraId="0C6C4107"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53C03FDC" wp14:editId="115EB98F">
                  <wp:extent cx="2671763" cy="3960935"/>
                  <wp:effectExtent l="0" t="0" r="0" b="0"/>
                  <wp:docPr id="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b="2528"/>
                          <a:stretch>
                            <a:fillRect/>
                          </a:stretch>
                        </pic:blipFill>
                        <pic:spPr>
                          <a:xfrm>
                            <a:off x="0" y="0"/>
                            <a:ext cx="2671763" cy="3960935"/>
                          </a:xfrm>
                          <a:prstGeom prst="rect">
                            <a:avLst/>
                          </a:prstGeom>
                          <a:ln/>
                        </pic:spPr>
                      </pic:pic>
                    </a:graphicData>
                  </a:graphic>
                </wp:inline>
              </w:drawing>
            </w:r>
          </w:p>
          <w:p w14:paraId="30076423"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 TB p. 50</w:t>
            </w:r>
          </w:p>
        </w:tc>
      </w:tr>
      <w:tr w:rsidR="00456479" w14:paraId="18D592C0" w14:textId="77777777">
        <w:tc>
          <w:tcPr>
            <w:tcW w:w="9390" w:type="dxa"/>
          </w:tcPr>
          <w:p w14:paraId="67259269" w14:textId="77777777" w:rsidR="00456479" w:rsidRDefault="00267ACA">
            <w:pPr>
              <w:pStyle w:val="normal0"/>
              <w:numPr>
                <w:ilvl w:val="0"/>
                <w:numId w:val="3"/>
              </w:numPr>
              <w:rPr>
                <w:rFonts w:ascii="Muli" w:eastAsia="Muli" w:hAnsi="Muli" w:cs="Muli"/>
                <w:sz w:val="20"/>
                <w:szCs w:val="20"/>
              </w:rPr>
            </w:pPr>
            <w:r>
              <w:rPr>
                <w:rFonts w:ascii="Muli" w:eastAsia="Muli" w:hAnsi="Muli" w:cs="Muli"/>
                <w:sz w:val="20"/>
                <w:szCs w:val="20"/>
              </w:rPr>
              <w:t xml:space="preserve">The teacher uses a Meta-Think-Aloud to show how a reader might figure out the meaning of the word </w:t>
            </w:r>
            <w:r>
              <w:rPr>
                <w:rFonts w:ascii="Muli" w:eastAsia="Muli" w:hAnsi="Muli" w:cs="Muli"/>
                <w:i/>
                <w:sz w:val="20"/>
                <w:szCs w:val="20"/>
              </w:rPr>
              <w:t>gestation</w:t>
            </w:r>
            <w:r>
              <w:rPr>
                <w:rFonts w:ascii="Muli" w:eastAsia="Muli" w:hAnsi="Muli" w:cs="Muli"/>
                <w:sz w:val="20"/>
                <w:szCs w:val="20"/>
              </w:rPr>
              <w:t xml:space="preserve"> </w:t>
            </w:r>
            <w:r>
              <w:rPr>
                <w:rFonts w:ascii="Muli" w:eastAsia="Muli" w:hAnsi="Muli" w:cs="Muli"/>
                <w:b/>
                <w:color w:val="FF126D"/>
                <w:sz w:val="20"/>
                <w:szCs w:val="20"/>
              </w:rPr>
              <w:t>(DQ1L7 TE p. 59)</w:t>
            </w:r>
            <w:r>
              <w:rPr>
                <w:rFonts w:ascii="Muli" w:eastAsia="Muli" w:hAnsi="Muli" w:cs="Muli"/>
                <w:sz w:val="20"/>
                <w:szCs w:val="20"/>
              </w:rPr>
              <w:t xml:space="preserve">. </w:t>
            </w:r>
          </w:p>
        </w:tc>
        <w:tc>
          <w:tcPr>
            <w:tcW w:w="4800" w:type="dxa"/>
          </w:tcPr>
          <w:p w14:paraId="276EB7F6"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7A01663B" wp14:editId="22BBE9FC">
                  <wp:extent cx="2890838" cy="1459012"/>
                  <wp:effectExtent l="12700" t="12700" r="12700" b="12700"/>
                  <wp:docPr id="6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2890838" cy="1459012"/>
                          </a:xfrm>
                          <a:prstGeom prst="rect">
                            <a:avLst/>
                          </a:prstGeom>
                          <a:ln w="12700">
                            <a:solidFill>
                              <a:srgbClr val="CCCCCC"/>
                            </a:solidFill>
                            <a:prstDash val="solid"/>
                          </a:ln>
                        </pic:spPr>
                      </pic:pic>
                    </a:graphicData>
                  </a:graphic>
                </wp:inline>
              </w:drawing>
            </w:r>
          </w:p>
          <w:p w14:paraId="5D942ED5"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DQ1L7 TE p. 59</w:t>
            </w:r>
          </w:p>
        </w:tc>
      </w:tr>
      <w:tr w:rsidR="00456479" w14:paraId="69B3AADA" w14:textId="77777777">
        <w:trPr>
          <w:trHeight w:val="6300"/>
        </w:trPr>
        <w:tc>
          <w:tcPr>
            <w:tcW w:w="9390" w:type="dxa"/>
          </w:tcPr>
          <w:p w14:paraId="546B7C68"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lastRenderedPageBreak/>
              <w:t>Students consider how the evidence they collected provided scientific reasoning to support their claim, and, if</w:t>
            </w:r>
            <w:r>
              <w:rPr>
                <w:rFonts w:ascii="Muli" w:eastAsia="Muli" w:hAnsi="Muli" w:cs="Muli"/>
                <w:sz w:val="20"/>
                <w:szCs w:val="20"/>
              </w:rPr>
              <w:t xml:space="preserve"> applicable, explain why they revised their claim </w:t>
            </w:r>
            <w:r>
              <w:rPr>
                <w:rFonts w:ascii="Muli" w:eastAsia="Muli" w:hAnsi="Muli" w:cs="Muli"/>
                <w:b/>
                <w:color w:val="FF126D"/>
                <w:sz w:val="20"/>
                <w:szCs w:val="20"/>
              </w:rPr>
              <w:t>(DQ1L5, TB p. 17, DQ1L5 TB p. 22)</w:t>
            </w:r>
            <w:r>
              <w:rPr>
                <w:rFonts w:ascii="Muli" w:eastAsia="Muli" w:hAnsi="Muli" w:cs="Muli"/>
                <w:sz w:val="20"/>
                <w:szCs w:val="20"/>
              </w:rPr>
              <w:t>.</w:t>
            </w:r>
          </w:p>
        </w:tc>
        <w:tc>
          <w:tcPr>
            <w:tcW w:w="4800" w:type="dxa"/>
          </w:tcPr>
          <w:p w14:paraId="3A908583"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1E0C2877" wp14:editId="53790E62">
                  <wp:extent cx="2776538" cy="2585052"/>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776538" cy="2585052"/>
                          </a:xfrm>
                          <a:prstGeom prst="rect">
                            <a:avLst/>
                          </a:prstGeom>
                          <a:ln/>
                        </pic:spPr>
                      </pic:pic>
                    </a:graphicData>
                  </a:graphic>
                </wp:inline>
              </w:drawing>
            </w:r>
          </w:p>
          <w:p w14:paraId="555EC35D"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DQ1L5, TB p. 17</w:t>
            </w:r>
          </w:p>
          <w:p w14:paraId="2F799948" w14:textId="77777777" w:rsidR="00456479" w:rsidRDefault="00456479">
            <w:pPr>
              <w:pStyle w:val="normal0"/>
              <w:ind w:left="90"/>
              <w:rPr>
                <w:rFonts w:ascii="Muli" w:eastAsia="Muli" w:hAnsi="Muli" w:cs="Muli"/>
                <w:b/>
                <w:color w:val="FF126D"/>
                <w:sz w:val="20"/>
                <w:szCs w:val="20"/>
              </w:rPr>
            </w:pPr>
          </w:p>
          <w:p w14:paraId="66FA3878"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629A56F" wp14:editId="66BC7960">
                  <wp:extent cx="2909888" cy="72975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909888" cy="729752"/>
                          </a:xfrm>
                          <a:prstGeom prst="rect">
                            <a:avLst/>
                          </a:prstGeom>
                          <a:ln/>
                        </pic:spPr>
                      </pic:pic>
                    </a:graphicData>
                  </a:graphic>
                </wp:inline>
              </w:drawing>
            </w:r>
          </w:p>
          <w:p w14:paraId="28554137"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DQ1L5, TB p. 17</w:t>
            </w:r>
          </w:p>
        </w:tc>
      </w:tr>
      <w:tr w:rsidR="00456479" w14:paraId="7B7B8810" w14:textId="77777777">
        <w:trPr>
          <w:trHeight w:val="2400"/>
        </w:trPr>
        <w:tc>
          <w:tcPr>
            <w:tcW w:w="9390" w:type="dxa"/>
          </w:tcPr>
          <w:p w14:paraId="2CAE5F2A"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t xml:space="preserve">Students revise their model of how genes and traits are passed from butterfly parents to offspring, or describe a way they could change their model </w:t>
            </w:r>
            <w:r>
              <w:rPr>
                <w:rFonts w:ascii="Muli" w:eastAsia="Muli" w:hAnsi="Muli" w:cs="Muli"/>
                <w:b/>
                <w:color w:val="FF126D"/>
                <w:sz w:val="20"/>
                <w:szCs w:val="20"/>
              </w:rPr>
              <w:t>(DQ2L8 TB p. 73)</w:t>
            </w:r>
            <w:r>
              <w:rPr>
                <w:rFonts w:ascii="Muli" w:eastAsia="Muli" w:hAnsi="Muli" w:cs="Muli"/>
                <w:sz w:val="20"/>
                <w:szCs w:val="20"/>
              </w:rPr>
              <w:t>.</w:t>
            </w:r>
          </w:p>
        </w:tc>
        <w:tc>
          <w:tcPr>
            <w:tcW w:w="4800" w:type="dxa"/>
          </w:tcPr>
          <w:p w14:paraId="38858C4D"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678940D9" wp14:editId="1789B108">
                  <wp:extent cx="2900363" cy="1191058"/>
                  <wp:effectExtent l="12700" t="12700" r="12700" b="12700"/>
                  <wp:docPr id="5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2900363" cy="1191058"/>
                          </a:xfrm>
                          <a:prstGeom prst="rect">
                            <a:avLst/>
                          </a:prstGeom>
                          <a:ln w="12700">
                            <a:solidFill>
                              <a:srgbClr val="CCCCCC"/>
                            </a:solidFill>
                            <a:prstDash val="solid"/>
                          </a:ln>
                        </pic:spPr>
                      </pic:pic>
                    </a:graphicData>
                  </a:graphic>
                </wp:inline>
              </w:drawing>
            </w:r>
          </w:p>
          <w:p w14:paraId="766428BB"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DQ2L8 TB p. 73</w:t>
            </w:r>
          </w:p>
        </w:tc>
      </w:tr>
      <w:tr w:rsidR="00456479" w14:paraId="203E53AF" w14:textId="77777777">
        <w:trPr>
          <w:trHeight w:val="6240"/>
        </w:trPr>
        <w:tc>
          <w:tcPr>
            <w:tcW w:w="9390" w:type="dxa"/>
          </w:tcPr>
          <w:p w14:paraId="4D1FD103"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lastRenderedPageBreak/>
              <w:t>Students edit or rewrite their explanation about how the dam has affected the lake sturgeon, using peer feedback to make their response stronger and clearer (</w:t>
            </w:r>
            <w:r>
              <w:rPr>
                <w:rFonts w:ascii="Muli" w:eastAsia="Muli" w:hAnsi="Muli" w:cs="Muli"/>
                <w:b/>
                <w:color w:val="FF126D"/>
                <w:sz w:val="20"/>
                <w:szCs w:val="20"/>
              </w:rPr>
              <w:t>DQ3L7 TB p. 128</w:t>
            </w:r>
            <w:r>
              <w:rPr>
                <w:rFonts w:ascii="Muli" w:eastAsia="Muli" w:hAnsi="Muli" w:cs="Muli"/>
                <w:sz w:val="20"/>
                <w:szCs w:val="20"/>
              </w:rPr>
              <w:t xml:space="preserve">). </w:t>
            </w:r>
          </w:p>
        </w:tc>
        <w:tc>
          <w:tcPr>
            <w:tcW w:w="4800" w:type="dxa"/>
          </w:tcPr>
          <w:p w14:paraId="58A23C07"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18593E79" wp14:editId="32BE7522">
                  <wp:extent cx="2871788" cy="3682010"/>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2871788" cy="3682010"/>
                          </a:xfrm>
                          <a:prstGeom prst="rect">
                            <a:avLst/>
                          </a:prstGeom>
                          <a:ln/>
                        </pic:spPr>
                      </pic:pic>
                    </a:graphicData>
                  </a:graphic>
                </wp:inline>
              </w:drawing>
            </w:r>
          </w:p>
          <w:p w14:paraId="62E5AD83"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DQ3L7 TB p. 128</w:t>
            </w:r>
          </w:p>
        </w:tc>
      </w:tr>
      <w:tr w:rsidR="00456479" w14:paraId="59A714D0" w14:textId="77777777" w:rsidTr="00ED15A9">
        <w:trPr>
          <w:trHeight w:val="9770"/>
        </w:trPr>
        <w:tc>
          <w:tcPr>
            <w:tcW w:w="9390" w:type="dxa"/>
          </w:tcPr>
          <w:p w14:paraId="121D12EE"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lastRenderedPageBreak/>
              <w:t>Students reflect on the approach(es) they included in their conservation plan and explain their choice (</w:t>
            </w:r>
            <w:r>
              <w:rPr>
                <w:rFonts w:ascii="Muli" w:eastAsia="Muli" w:hAnsi="Muli" w:cs="Muli"/>
                <w:b/>
                <w:color w:val="FF126D"/>
                <w:sz w:val="20"/>
                <w:szCs w:val="20"/>
              </w:rPr>
              <w:t>DQ4L3 TB p. 143</w:t>
            </w:r>
            <w:r>
              <w:rPr>
                <w:rFonts w:ascii="Muli" w:eastAsia="Muli" w:hAnsi="Muli" w:cs="Muli"/>
                <w:sz w:val="20"/>
                <w:szCs w:val="20"/>
              </w:rPr>
              <w:t xml:space="preserve">). </w:t>
            </w:r>
          </w:p>
        </w:tc>
        <w:tc>
          <w:tcPr>
            <w:tcW w:w="4800" w:type="dxa"/>
          </w:tcPr>
          <w:p w14:paraId="006BEA57"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4FA076A3" wp14:editId="59F42A86">
                  <wp:extent cx="2633663" cy="3698686"/>
                  <wp:effectExtent l="0" t="0" r="0" b="0"/>
                  <wp:docPr id="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2633663" cy="3698686"/>
                          </a:xfrm>
                          <a:prstGeom prst="rect">
                            <a:avLst/>
                          </a:prstGeom>
                          <a:ln/>
                        </pic:spPr>
                      </pic:pic>
                    </a:graphicData>
                  </a:graphic>
                </wp:inline>
              </w:drawing>
            </w:r>
          </w:p>
          <w:p w14:paraId="4709AFB9"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DQ4L3 TB p. 143</w:t>
            </w:r>
          </w:p>
        </w:tc>
      </w:tr>
      <w:tr w:rsidR="00456479" w14:paraId="09939479" w14:textId="77777777">
        <w:trPr>
          <w:trHeight w:val="880"/>
        </w:trPr>
        <w:tc>
          <w:tcPr>
            <w:tcW w:w="14190" w:type="dxa"/>
            <w:gridSpan w:val="2"/>
            <w:shd w:val="clear" w:color="auto" w:fill="D9D9D9"/>
          </w:tcPr>
          <w:p w14:paraId="79D6553D" w14:textId="77777777" w:rsidR="00456479" w:rsidRDefault="00267ACA">
            <w:pPr>
              <w:pStyle w:val="normal0"/>
              <w:spacing w:before="1"/>
              <w:ind w:left="180" w:right="105"/>
              <w:jc w:val="both"/>
              <w:rPr>
                <w:rFonts w:ascii="Muli" w:eastAsia="Muli" w:hAnsi="Muli" w:cs="Muli"/>
                <w:b/>
                <w:color w:val="2F5496"/>
                <w:sz w:val="20"/>
                <w:szCs w:val="20"/>
              </w:rPr>
            </w:pPr>
            <w:r>
              <w:rPr>
                <w:rFonts w:ascii="Muli" w:eastAsia="Muli" w:hAnsi="Muli" w:cs="Muli"/>
                <w:b/>
                <w:color w:val="2F5496"/>
                <w:sz w:val="20"/>
                <w:szCs w:val="20"/>
              </w:rPr>
              <w:lastRenderedPageBreak/>
              <w:t>SW5. Equitable Learning Opportunities.</w:t>
            </w:r>
          </w:p>
          <w:p w14:paraId="2E90F1A8" w14:textId="77777777" w:rsidR="00456479" w:rsidRDefault="00267ACA">
            <w:pPr>
              <w:pStyle w:val="normal0"/>
              <w:ind w:left="180"/>
              <w:rPr>
                <w:rFonts w:ascii="Muli" w:eastAsia="Muli" w:hAnsi="Muli" w:cs="Muli"/>
                <w:b/>
                <w:color w:val="2F5496"/>
                <w:sz w:val="20"/>
                <w:szCs w:val="20"/>
              </w:rPr>
            </w:pPr>
            <w:r>
              <w:rPr>
                <w:rFonts w:ascii="Muli" w:eastAsia="Muli" w:hAnsi="Muli" w:cs="Muli"/>
                <w:sz w:val="20"/>
                <w:szCs w:val="20"/>
              </w:rPr>
              <w:t>Most learning experiences across The Red List are multimodal in approach with numerous cross curricular connections, designed to engage students meaningfully in a variety of ways, with multiple access points, and with supports for students.</w:t>
            </w:r>
          </w:p>
        </w:tc>
      </w:tr>
      <w:tr w:rsidR="00456479" w14:paraId="38AA243F" w14:textId="77777777">
        <w:trPr>
          <w:trHeight w:val="600"/>
        </w:trPr>
        <w:tc>
          <w:tcPr>
            <w:tcW w:w="9390" w:type="dxa"/>
          </w:tcPr>
          <w:p w14:paraId="7DB3A2A5" w14:textId="77777777" w:rsidR="00456479" w:rsidRDefault="00456479">
            <w:pPr>
              <w:pStyle w:val="normal0"/>
              <w:ind w:left="180" w:right="120"/>
              <w:rPr>
                <w:rFonts w:ascii="Muli" w:eastAsia="Muli" w:hAnsi="Muli" w:cs="Muli"/>
                <w:sz w:val="20"/>
                <w:szCs w:val="20"/>
              </w:rPr>
            </w:pPr>
          </w:p>
          <w:p w14:paraId="6F739916" w14:textId="77777777" w:rsidR="00456479" w:rsidRDefault="00267ACA">
            <w:pPr>
              <w:pStyle w:val="normal0"/>
              <w:ind w:left="180" w:right="120"/>
              <w:rPr>
                <w:rFonts w:ascii="Muli" w:eastAsia="Muli" w:hAnsi="Muli" w:cs="Muli"/>
                <w:sz w:val="20"/>
                <w:szCs w:val="20"/>
              </w:rPr>
            </w:pPr>
            <w:r>
              <w:rPr>
                <w:rFonts w:ascii="Muli" w:eastAsia="Muli" w:hAnsi="Muli" w:cs="Muli"/>
                <w:sz w:val="20"/>
                <w:szCs w:val="20"/>
              </w:rPr>
              <w:t xml:space="preserve">The learning </w:t>
            </w:r>
            <w:r>
              <w:rPr>
                <w:rFonts w:ascii="Muli" w:eastAsia="Muli" w:hAnsi="Muli" w:cs="Muli"/>
                <w:sz w:val="20"/>
                <w:szCs w:val="20"/>
              </w:rPr>
              <w:t xml:space="preserve">experiences in the module are designed to appeal to students of all learning styles and abilities and include tasks in all domains—writing, reading, listening (read-alouds and videos), speaking (discussion and presentations), drawing, plus hands-on, text, </w:t>
            </w:r>
            <w:r>
              <w:rPr>
                <w:rFonts w:ascii="Muli" w:eastAsia="Muli" w:hAnsi="Muli" w:cs="Muli"/>
                <w:sz w:val="20"/>
                <w:szCs w:val="20"/>
              </w:rPr>
              <w:t xml:space="preserve">and video investigations. </w:t>
            </w:r>
          </w:p>
          <w:p w14:paraId="40C4D8A7" w14:textId="77777777" w:rsidR="00456479" w:rsidRDefault="00456479">
            <w:pPr>
              <w:pStyle w:val="normal0"/>
              <w:ind w:left="180" w:right="120"/>
              <w:rPr>
                <w:rFonts w:ascii="Muli" w:eastAsia="Muli" w:hAnsi="Muli" w:cs="Muli"/>
                <w:sz w:val="20"/>
                <w:szCs w:val="20"/>
                <w:shd w:val="clear" w:color="auto" w:fill="F4CCCC"/>
              </w:rPr>
            </w:pPr>
          </w:p>
          <w:p w14:paraId="5AB85BA7" w14:textId="77777777" w:rsidR="00456479" w:rsidRDefault="00267ACA">
            <w:pPr>
              <w:pStyle w:val="normal0"/>
              <w:ind w:left="180" w:right="120"/>
              <w:rPr>
                <w:rFonts w:ascii="Muli" w:eastAsia="Muli" w:hAnsi="Muli" w:cs="Muli"/>
                <w:sz w:val="20"/>
                <w:szCs w:val="20"/>
              </w:rPr>
            </w:pPr>
            <w:r>
              <w:rPr>
                <w:rFonts w:ascii="Muli" w:eastAsia="Muli" w:hAnsi="Muli" w:cs="Muli"/>
                <w:sz w:val="20"/>
                <w:szCs w:val="20"/>
              </w:rPr>
              <w:t>Instructional materials frequently provide support for language scaffolding for EL students at point of use in the Teacher Editions, as well as research-based integrated language routines to support all students to “talk science</w:t>
            </w:r>
            <w:r>
              <w:rPr>
                <w:rFonts w:ascii="Muli" w:eastAsia="Muli" w:hAnsi="Muli" w:cs="Muli"/>
                <w:sz w:val="20"/>
                <w:szCs w:val="20"/>
              </w:rPr>
              <w:t>” using grade-level appropriate scientific vocabulary.  The digital version of the Twig Book (TB) includes a text to speech function.</w:t>
            </w:r>
          </w:p>
          <w:p w14:paraId="6DA0FF77" w14:textId="77777777" w:rsidR="00456479" w:rsidRDefault="00456479">
            <w:pPr>
              <w:pStyle w:val="normal0"/>
              <w:ind w:left="180" w:right="120"/>
              <w:rPr>
                <w:rFonts w:ascii="Muli" w:eastAsia="Muli" w:hAnsi="Muli" w:cs="Muli"/>
                <w:sz w:val="20"/>
                <w:szCs w:val="20"/>
              </w:rPr>
            </w:pPr>
          </w:p>
          <w:p w14:paraId="5475645A" w14:textId="77777777" w:rsidR="00456479" w:rsidRDefault="00267ACA">
            <w:pPr>
              <w:pStyle w:val="normal0"/>
              <w:ind w:left="180" w:right="120"/>
              <w:rPr>
                <w:rFonts w:ascii="Muli" w:eastAsia="Muli" w:hAnsi="Muli" w:cs="Muli"/>
                <w:sz w:val="20"/>
                <w:szCs w:val="20"/>
              </w:rPr>
            </w:pPr>
            <w:r>
              <w:rPr>
                <w:rFonts w:ascii="Muli" w:eastAsia="Muli" w:hAnsi="Muli" w:cs="Muli"/>
                <w:sz w:val="20"/>
                <w:szCs w:val="20"/>
              </w:rPr>
              <w:t xml:space="preserve">Suggestions for extra access points for students with special needs are provided frequently at point of use. </w:t>
            </w:r>
          </w:p>
          <w:p w14:paraId="3697AEBB" w14:textId="77777777" w:rsidR="00456479" w:rsidRDefault="00456479">
            <w:pPr>
              <w:pStyle w:val="normal0"/>
              <w:ind w:left="180"/>
              <w:rPr>
                <w:rFonts w:ascii="Muli" w:eastAsia="Muli" w:hAnsi="Muli" w:cs="Muli"/>
                <w:sz w:val="20"/>
                <w:szCs w:val="20"/>
                <w:shd w:val="clear" w:color="auto" w:fill="F4CCCC"/>
              </w:rPr>
            </w:pPr>
          </w:p>
          <w:p w14:paraId="74171432" w14:textId="77777777" w:rsidR="00456479" w:rsidRDefault="00267ACA">
            <w:pPr>
              <w:pStyle w:val="normal0"/>
              <w:ind w:left="180"/>
              <w:rPr>
                <w:rFonts w:ascii="Muli" w:eastAsia="Muli" w:hAnsi="Muli" w:cs="Muli"/>
                <w:b/>
                <w:color w:val="FF126D"/>
                <w:sz w:val="20"/>
                <w:szCs w:val="20"/>
              </w:rPr>
            </w:pPr>
            <w:r>
              <w:rPr>
                <w:rFonts w:ascii="Muli" w:eastAsia="Muli" w:hAnsi="Muli" w:cs="Muli"/>
                <w:sz w:val="20"/>
                <w:szCs w:val="20"/>
              </w:rPr>
              <w:t>Culturally</w:t>
            </w:r>
            <w:r>
              <w:rPr>
                <w:rFonts w:ascii="Muli" w:eastAsia="Muli" w:hAnsi="Muli" w:cs="Muli"/>
                <w:sz w:val="20"/>
                <w:szCs w:val="20"/>
              </w:rPr>
              <w:t xml:space="preserve">-relevant content is core to the module. For example, students research conservation strategies developed for the California condor </w:t>
            </w:r>
            <w:r>
              <w:rPr>
                <w:rFonts w:ascii="Muli" w:eastAsia="Muli" w:hAnsi="Muli" w:cs="Muli"/>
                <w:b/>
                <w:color w:val="FF126D"/>
                <w:sz w:val="20"/>
                <w:szCs w:val="20"/>
              </w:rPr>
              <w:t>(DQ4L2 TE pp. 261–263)</w:t>
            </w:r>
            <w:r>
              <w:rPr>
                <w:rFonts w:ascii="Muli" w:eastAsia="Muli" w:hAnsi="Muli" w:cs="Muli"/>
                <w:sz w:val="20"/>
                <w:szCs w:val="20"/>
              </w:rPr>
              <w:t xml:space="preserve"> and watch a video about a species of tree in Yellowstone National Park (</w:t>
            </w:r>
            <w:r>
              <w:rPr>
                <w:rFonts w:ascii="Muli" w:eastAsia="Muli" w:hAnsi="Muli" w:cs="Muli"/>
                <w:b/>
                <w:color w:val="FF126D"/>
                <w:sz w:val="20"/>
                <w:szCs w:val="20"/>
              </w:rPr>
              <w:t>DQ1L9 TE p. 76</w:t>
            </w:r>
            <w:r>
              <w:rPr>
                <w:rFonts w:ascii="Muli" w:eastAsia="Muli" w:hAnsi="Muli" w:cs="Muli"/>
                <w:sz w:val="20"/>
                <w:szCs w:val="20"/>
              </w:rPr>
              <w:t>). Additional c</w:t>
            </w:r>
            <w:r>
              <w:rPr>
                <w:rFonts w:ascii="Muli" w:eastAsia="Muli" w:hAnsi="Muli" w:cs="Muli"/>
                <w:sz w:val="20"/>
                <w:szCs w:val="20"/>
              </w:rPr>
              <w:t>ulturally-relevant contexts are added at point of use.</w:t>
            </w:r>
          </w:p>
          <w:p w14:paraId="346EC152" w14:textId="77777777" w:rsidR="00456479" w:rsidRDefault="00456479">
            <w:pPr>
              <w:pStyle w:val="normal0"/>
              <w:rPr>
                <w:rFonts w:ascii="Muli" w:eastAsia="Muli" w:hAnsi="Muli" w:cs="Muli"/>
                <w:sz w:val="20"/>
                <w:szCs w:val="20"/>
              </w:rPr>
            </w:pPr>
          </w:p>
        </w:tc>
        <w:tc>
          <w:tcPr>
            <w:tcW w:w="4800" w:type="dxa"/>
          </w:tcPr>
          <w:p w14:paraId="17FB23B5"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07103252" wp14:editId="13672CE3">
                  <wp:extent cx="2500313" cy="3440869"/>
                  <wp:effectExtent l="0" t="0" r="0" b="0"/>
                  <wp:docPr id="6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2"/>
                          <a:srcRect/>
                          <a:stretch>
                            <a:fillRect/>
                          </a:stretch>
                        </pic:blipFill>
                        <pic:spPr>
                          <a:xfrm>
                            <a:off x="0" y="0"/>
                            <a:ext cx="2500313" cy="3440869"/>
                          </a:xfrm>
                          <a:prstGeom prst="rect">
                            <a:avLst/>
                          </a:prstGeom>
                          <a:ln/>
                        </pic:spPr>
                      </pic:pic>
                    </a:graphicData>
                  </a:graphic>
                </wp:inline>
              </w:drawing>
            </w:r>
          </w:p>
          <w:p w14:paraId="1895A415"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DQ4L2 TE pp. 261–263</w:t>
            </w:r>
          </w:p>
          <w:p w14:paraId="3FC47E7D" w14:textId="77777777" w:rsidR="00456479" w:rsidRDefault="00456479">
            <w:pPr>
              <w:pStyle w:val="normal0"/>
              <w:ind w:left="90"/>
              <w:rPr>
                <w:rFonts w:ascii="Muli" w:eastAsia="Muli" w:hAnsi="Muli" w:cs="Muli"/>
                <w:b/>
                <w:color w:val="FF126D"/>
                <w:sz w:val="20"/>
                <w:szCs w:val="20"/>
              </w:rPr>
            </w:pPr>
          </w:p>
          <w:p w14:paraId="70355879"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831C3AC" wp14:editId="282C9B11">
                  <wp:extent cx="2786063" cy="1746748"/>
                  <wp:effectExtent l="0" t="0" r="0" b="0"/>
                  <wp:docPr id="2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a:stretch>
                            <a:fillRect/>
                          </a:stretch>
                        </pic:blipFill>
                        <pic:spPr>
                          <a:xfrm>
                            <a:off x="0" y="0"/>
                            <a:ext cx="2786063" cy="1746748"/>
                          </a:xfrm>
                          <a:prstGeom prst="rect">
                            <a:avLst/>
                          </a:prstGeom>
                          <a:ln/>
                        </pic:spPr>
                      </pic:pic>
                    </a:graphicData>
                  </a:graphic>
                </wp:inline>
              </w:drawing>
            </w:r>
          </w:p>
          <w:p w14:paraId="49901CB5"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DQ1L9 TE p. 76</w:t>
            </w:r>
          </w:p>
        </w:tc>
      </w:tr>
      <w:tr w:rsidR="00456479" w14:paraId="2C7AC3A4" w14:textId="77777777">
        <w:trPr>
          <w:trHeight w:val="3820"/>
        </w:trPr>
        <w:tc>
          <w:tcPr>
            <w:tcW w:w="9390" w:type="dxa"/>
          </w:tcPr>
          <w:p w14:paraId="723D4C37" w14:textId="77777777" w:rsidR="00456479" w:rsidRDefault="00267ACA">
            <w:pPr>
              <w:pStyle w:val="normal0"/>
              <w:ind w:left="180"/>
              <w:rPr>
                <w:rFonts w:ascii="Muli" w:eastAsia="Muli" w:hAnsi="Muli" w:cs="Muli"/>
                <w:sz w:val="20"/>
                <w:szCs w:val="20"/>
              </w:rPr>
            </w:pPr>
            <w:r>
              <w:rPr>
                <w:rFonts w:ascii="Muli" w:eastAsia="Muli" w:hAnsi="Muli" w:cs="Muli"/>
                <w:sz w:val="20"/>
                <w:szCs w:val="20"/>
              </w:rPr>
              <w:lastRenderedPageBreak/>
              <w:t xml:space="preserve">Higher Order Challenges for GATE student that have already met the learning goals are interspersed through the learning activities. </w:t>
            </w:r>
          </w:p>
          <w:p w14:paraId="34A1D730" w14:textId="77777777" w:rsidR="00456479" w:rsidRDefault="00456479">
            <w:pPr>
              <w:pStyle w:val="normal0"/>
              <w:ind w:left="180"/>
              <w:rPr>
                <w:rFonts w:ascii="Muli" w:eastAsia="Muli" w:hAnsi="Muli" w:cs="Muli"/>
                <w:sz w:val="20"/>
                <w:szCs w:val="20"/>
              </w:rPr>
            </w:pPr>
          </w:p>
          <w:p w14:paraId="3FC913FF" w14:textId="77777777" w:rsidR="00456479" w:rsidRDefault="00267ACA">
            <w:pPr>
              <w:pStyle w:val="normal0"/>
              <w:ind w:left="180"/>
              <w:rPr>
                <w:rFonts w:ascii="Muli" w:eastAsia="Muli" w:hAnsi="Muli" w:cs="Muli"/>
                <w:sz w:val="20"/>
                <w:szCs w:val="20"/>
              </w:rPr>
            </w:pPr>
            <w:r>
              <w:rPr>
                <w:rFonts w:ascii="Muli" w:eastAsia="Muli" w:hAnsi="Muli" w:cs="Muli"/>
                <w:sz w:val="20"/>
                <w:szCs w:val="20"/>
              </w:rPr>
              <w:t>The frequent use of videos helps all students access and engage with phenomena and science concepts. Key words are overlaid as on-screen text, so students can access the ideas visually as well as via the spoken and written word. Captions are provided in bo</w:t>
            </w:r>
            <w:r>
              <w:rPr>
                <w:rFonts w:ascii="Muli" w:eastAsia="Muli" w:hAnsi="Muli" w:cs="Muli"/>
                <w:sz w:val="20"/>
                <w:szCs w:val="20"/>
              </w:rPr>
              <w:t xml:space="preserve">th English and Spanish. </w:t>
            </w:r>
          </w:p>
          <w:p w14:paraId="2010E306" w14:textId="77777777" w:rsidR="00456479" w:rsidRDefault="00456479">
            <w:pPr>
              <w:pStyle w:val="normal0"/>
              <w:ind w:left="180"/>
              <w:rPr>
                <w:rFonts w:ascii="Muli" w:eastAsia="Muli" w:hAnsi="Muli" w:cs="Muli"/>
                <w:sz w:val="20"/>
                <w:szCs w:val="20"/>
                <w:shd w:val="clear" w:color="auto" w:fill="F4CCCC"/>
              </w:rPr>
            </w:pPr>
          </w:p>
          <w:p w14:paraId="42E2184C" w14:textId="77777777" w:rsidR="00456479" w:rsidRDefault="00267ACA">
            <w:pPr>
              <w:pStyle w:val="normal0"/>
              <w:ind w:left="180" w:right="120"/>
              <w:rPr>
                <w:rFonts w:ascii="Muli" w:eastAsia="Muli" w:hAnsi="Muli" w:cs="Muli"/>
                <w:sz w:val="20"/>
                <w:szCs w:val="20"/>
              </w:rPr>
            </w:pPr>
            <w:r>
              <w:rPr>
                <w:rFonts w:ascii="Muli" w:eastAsia="Muli" w:hAnsi="Muli" w:cs="Muli"/>
                <w:sz w:val="20"/>
                <w:szCs w:val="20"/>
              </w:rPr>
              <w:t xml:space="preserve">The </w:t>
            </w:r>
            <w:r>
              <w:rPr>
                <w:rFonts w:ascii="Muli" w:eastAsia="Muli" w:hAnsi="Muli" w:cs="Muli"/>
                <w:i/>
                <w:sz w:val="20"/>
                <w:szCs w:val="20"/>
              </w:rPr>
              <w:t>Biomes</w:t>
            </w:r>
            <w:r>
              <w:rPr>
                <w:rFonts w:ascii="Muli" w:eastAsia="Muli" w:hAnsi="Muli" w:cs="Muli"/>
                <w:sz w:val="20"/>
                <w:szCs w:val="20"/>
              </w:rPr>
              <w:t xml:space="preserve"> reader has been designed to capture the imagination of young readers with jokes and cartoons and it provides an alternative means to access the scientific content. The reader is available in four levels (Below, On, Abov</w:t>
            </w:r>
            <w:r>
              <w:rPr>
                <w:rFonts w:ascii="Muli" w:eastAsia="Muli" w:hAnsi="Muli" w:cs="Muli"/>
                <w:sz w:val="20"/>
                <w:szCs w:val="20"/>
              </w:rPr>
              <w:t>e, English Learner) plus Spanish, with complementary lessons to build language acquisition and develop informational text reading skills. On-Level lessons are in the TE, other levels available digitally. The reader features many positive role models in the</w:t>
            </w:r>
            <w:r>
              <w:rPr>
                <w:rFonts w:ascii="Muli" w:eastAsia="Muli" w:hAnsi="Muli" w:cs="Muli"/>
                <w:sz w:val="20"/>
                <w:szCs w:val="20"/>
              </w:rPr>
              <w:t xml:space="preserve"> field of science and engineering, designed to cultivate interest in STEM careers for all students. Chapter 2 is dedicated to an interview with an ecologist. The digital version of the reader includes a text to speech function. </w:t>
            </w:r>
            <w:r w:rsidR="00ED15A9">
              <w:rPr>
                <w:rFonts w:ascii="Muli" w:eastAsia="Muli" w:hAnsi="Muli" w:cs="Muli"/>
                <w:b/>
                <w:color w:val="FF126D"/>
                <w:sz w:val="20"/>
                <w:szCs w:val="20"/>
              </w:rPr>
              <w:t>(</w:t>
            </w:r>
            <w:r>
              <w:rPr>
                <w:rFonts w:ascii="Muli" w:eastAsia="Muli" w:hAnsi="Muli" w:cs="Muli"/>
                <w:b/>
                <w:color w:val="FF126D"/>
                <w:sz w:val="20"/>
                <w:szCs w:val="20"/>
              </w:rPr>
              <w:t>Biomes Leveled Reader)</w:t>
            </w:r>
          </w:p>
        </w:tc>
        <w:tc>
          <w:tcPr>
            <w:tcW w:w="4800" w:type="dxa"/>
          </w:tcPr>
          <w:p w14:paraId="76CB0182" w14:textId="77777777" w:rsidR="00456479" w:rsidRDefault="00267ACA">
            <w:pPr>
              <w:pStyle w:val="normal0"/>
              <w:ind w:right="383"/>
              <w:rPr>
                <w:rFonts w:ascii="Muli" w:eastAsia="Muli" w:hAnsi="Muli" w:cs="Muli"/>
                <w:sz w:val="20"/>
                <w:szCs w:val="20"/>
              </w:rPr>
            </w:pPr>
            <w:r>
              <w:rPr>
                <w:rFonts w:ascii="Muli" w:eastAsia="Muli" w:hAnsi="Muli" w:cs="Muli"/>
                <w:noProof/>
                <w:sz w:val="20"/>
                <w:szCs w:val="20"/>
              </w:rPr>
              <w:drawing>
                <wp:inline distT="114300" distB="114300" distL="114300" distR="114300" wp14:anchorId="52459F23" wp14:editId="53F6D1E3">
                  <wp:extent cx="2976563" cy="1427630"/>
                  <wp:effectExtent l="0" t="0" r="0" b="0"/>
                  <wp:docPr id="7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4"/>
                          <a:srcRect/>
                          <a:stretch>
                            <a:fillRect/>
                          </a:stretch>
                        </pic:blipFill>
                        <pic:spPr>
                          <a:xfrm>
                            <a:off x="0" y="0"/>
                            <a:ext cx="2976563" cy="1427630"/>
                          </a:xfrm>
                          <a:prstGeom prst="rect">
                            <a:avLst/>
                          </a:prstGeom>
                          <a:ln/>
                        </pic:spPr>
                      </pic:pic>
                    </a:graphicData>
                  </a:graphic>
                </wp:inline>
              </w:drawing>
            </w:r>
          </w:p>
          <w:p w14:paraId="6505D9A0" w14:textId="77777777" w:rsidR="00456479" w:rsidRDefault="00267ACA">
            <w:pPr>
              <w:pStyle w:val="normal0"/>
              <w:ind w:left="180" w:right="120"/>
              <w:rPr>
                <w:rFonts w:ascii="Muli" w:eastAsia="Muli" w:hAnsi="Muli" w:cs="Muli"/>
                <w:sz w:val="20"/>
                <w:szCs w:val="20"/>
              </w:rPr>
            </w:pPr>
            <w:bookmarkStart w:id="0" w:name="_GoBack"/>
            <w:bookmarkEnd w:id="0"/>
            <w:r>
              <w:rPr>
                <w:rFonts w:ascii="Muli" w:eastAsia="Muli" w:hAnsi="Muli" w:cs="Muli"/>
                <w:b/>
                <w:color w:val="FF126D"/>
                <w:sz w:val="20"/>
                <w:szCs w:val="20"/>
              </w:rPr>
              <w:t>Biomes Leveled Reader</w:t>
            </w:r>
          </w:p>
        </w:tc>
      </w:tr>
      <w:tr w:rsidR="00456479" w14:paraId="363442C6" w14:textId="77777777">
        <w:trPr>
          <w:trHeight w:val="3900"/>
        </w:trPr>
        <w:tc>
          <w:tcPr>
            <w:tcW w:w="9390" w:type="dxa"/>
          </w:tcPr>
          <w:p w14:paraId="7CB02F5C" w14:textId="77777777" w:rsidR="00456479" w:rsidRDefault="00267ACA">
            <w:pPr>
              <w:pStyle w:val="normal0"/>
              <w:ind w:left="180"/>
              <w:rPr>
                <w:rFonts w:ascii="Muli" w:eastAsia="Muli" w:hAnsi="Muli" w:cs="Muli"/>
                <w:b/>
                <w:sz w:val="20"/>
                <w:szCs w:val="20"/>
              </w:rPr>
            </w:pPr>
            <w:r>
              <w:rPr>
                <w:rFonts w:ascii="Muli" w:eastAsia="Muli" w:hAnsi="Muli" w:cs="Muli"/>
                <w:b/>
                <w:color w:val="FF126D"/>
                <w:sz w:val="20"/>
                <w:szCs w:val="20"/>
              </w:rPr>
              <w:t>Evidence</w:t>
            </w:r>
          </w:p>
          <w:p w14:paraId="0E15D2E3"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t>Integrated EL sidebars offer teachers guidance to support students’ engagement with the material (</w:t>
            </w:r>
            <w:r>
              <w:rPr>
                <w:rFonts w:ascii="Muli" w:eastAsia="Muli" w:hAnsi="Muli" w:cs="Muli"/>
                <w:b/>
                <w:color w:val="FF126D"/>
                <w:sz w:val="20"/>
                <w:szCs w:val="20"/>
              </w:rPr>
              <w:t>DQ1L8 TE p. 67</w:t>
            </w:r>
            <w:r>
              <w:rPr>
                <w:rFonts w:ascii="Muli" w:eastAsia="Muli" w:hAnsi="Muli" w:cs="Muli"/>
                <w:sz w:val="20"/>
                <w:szCs w:val="20"/>
              </w:rPr>
              <w:t xml:space="preserve">, </w:t>
            </w:r>
            <w:r>
              <w:rPr>
                <w:rFonts w:ascii="Muli" w:eastAsia="Muli" w:hAnsi="Muli" w:cs="Muli"/>
                <w:b/>
                <w:color w:val="FF126D"/>
                <w:sz w:val="20"/>
                <w:szCs w:val="20"/>
              </w:rPr>
              <w:t>DQ2L3 p. 118</w:t>
            </w:r>
            <w:r>
              <w:rPr>
                <w:rFonts w:ascii="Muli" w:eastAsia="Muli" w:hAnsi="Muli" w:cs="Muli"/>
                <w:sz w:val="20"/>
                <w:szCs w:val="20"/>
              </w:rPr>
              <w:t xml:space="preserve">, DQ2L11 TE p. 179, DQ3L5 TE p. 218, DQ4L2 TE p. 261). </w:t>
            </w:r>
          </w:p>
        </w:tc>
        <w:tc>
          <w:tcPr>
            <w:tcW w:w="4800" w:type="dxa"/>
          </w:tcPr>
          <w:p w14:paraId="764808AE"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3EDED8F1" wp14:editId="06356979">
                  <wp:extent cx="2428875" cy="219075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2428875" cy="2190750"/>
                          </a:xfrm>
                          <a:prstGeom prst="rect">
                            <a:avLst/>
                          </a:prstGeom>
                          <a:ln/>
                        </pic:spPr>
                      </pic:pic>
                    </a:graphicData>
                  </a:graphic>
                </wp:inline>
              </w:drawing>
            </w:r>
          </w:p>
          <w:p w14:paraId="44820095" w14:textId="77777777" w:rsidR="00456479" w:rsidRDefault="00267ACA">
            <w:pPr>
              <w:pStyle w:val="normal0"/>
              <w:ind w:firstLine="90"/>
              <w:rPr>
                <w:rFonts w:ascii="Muli" w:eastAsia="Muli" w:hAnsi="Muli" w:cs="Muli"/>
                <w:b/>
                <w:color w:val="FF126D"/>
                <w:sz w:val="20"/>
                <w:szCs w:val="20"/>
              </w:rPr>
            </w:pPr>
            <w:r>
              <w:rPr>
                <w:rFonts w:ascii="Muli" w:eastAsia="Muli" w:hAnsi="Muli" w:cs="Muli"/>
                <w:b/>
                <w:color w:val="FF126D"/>
                <w:sz w:val="20"/>
                <w:szCs w:val="20"/>
              </w:rPr>
              <w:t>DQ1L8 TE p. 67</w:t>
            </w:r>
          </w:p>
          <w:p w14:paraId="4A5D3A42" w14:textId="77777777" w:rsidR="00456479" w:rsidRDefault="00456479">
            <w:pPr>
              <w:pStyle w:val="normal0"/>
              <w:ind w:firstLine="90"/>
              <w:rPr>
                <w:rFonts w:ascii="Muli" w:eastAsia="Muli" w:hAnsi="Muli" w:cs="Muli"/>
                <w:b/>
                <w:color w:val="FF126D"/>
                <w:sz w:val="20"/>
                <w:szCs w:val="20"/>
              </w:rPr>
            </w:pPr>
          </w:p>
          <w:p w14:paraId="7590BF8E" w14:textId="77777777" w:rsidR="00456479" w:rsidRDefault="00267ACA">
            <w:pPr>
              <w:pStyle w:val="normal0"/>
              <w:ind w:firstLine="9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4A1C0B37" wp14:editId="30E72907">
                  <wp:extent cx="2719388" cy="3375791"/>
                  <wp:effectExtent l="0" t="0" r="0" b="0"/>
                  <wp:docPr id="7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6"/>
                          <a:srcRect/>
                          <a:stretch>
                            <a:fillRect/>
                          </a:stretch>
                        </pic:blipFill>
                        <pic:spPr>
                          <a:xfrm>
                            <a:off x="0" y="0"/>
                            <a:ext cx="2719388" cy="3375791"/>
                          </a:xfrm>
                          <a:prstGeom prst="rect">
                            <a:avLst/>
                          </a:prstGeom>
                          <a:ln/>
                        </pic:spPr>
                      </pic:pic>
                    </a:graphicData>
                  </a:graphic>
                </wp:inline>
              </w:drawing>
            </w:r>
          </w:p>
          <w:p w14:paraId="4D1192A9"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DQ2L3 p. 118</w:t>
            </w:r>
          </w:p>
        </w:tc>
      </w:tr>
      <w:tr w:rsidR="00456479" w14:paraId="4E245BC5" w14:textId="77777777">
        <w:trPr>
          <w:trHeight w:val="4860"/>
        </w:trPr>
        <w:tc>
          <w:tcPr>
            <w:tcW w:w="9390" w:type="dxa"/>
          </w:tcPr>
          <w:p w14:paraId="0DF2768E"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lastRenderedPageBreak/>
              <w:t>Integrated Cultural Connection sidebars offer teachers guidance to engage students of all backgrounds and abilities (</w:t>
            </w:r>
            <w:r>
              <w:rPr>
                <w:rFonts w:ascii="Muli" w:eastAsia="Muli" w:hAnsi="Muli" w:cs="Muli"/>
                <w:b/>
                <w:color w:val="FF126D"/>
                <w:sz w:val="20"/>
                <w:szCs w:val="20"/>
              </w:rPr>
              <w:t>DQ1L2 TE p. 20</w:t>
            </w:r>
            <w:r>
              <w:rPr>
                <w:rFonts w:ascii="Muli" w:eastAsia="Muli" w:hAnsi="Muli" w:cs="Muli"/>
                <w:sz w:val="20"/>
                <w:szCs w:val="20"/>
              </w:rPr>
              <w:t xml:space="preserve">, </w:t>
            </w:r>
            <w:r>
              <w:rPr>
                <w:rFonts w:ascii="Muli" w:eastAsia="Muli" w:hAnsi="Muli" w:cs="Muli"/>
                <w:b/>
                <w:color w:val="FF126D"/>
                <w:sz w:val="20"/>
                <w:szCs w:val="20"/>
              </w:rPr>
              <w:t>DQ1L6 TE p. 50</w:t>
            </w:r>
            <w:r>
              <w:rPr>
                <w:rFonts w:ascii="Muli" w:eastAsia="Muli" w:hAnsi="Muli" w:cs="Muli"/>
                <w:sz w:val="20"/>
                <w:szCs w:val="20"/>
              </w:rPr>
              <w:t xml:space="preserve">, DQ1L9 TE p. 76, DQ2L7 TE p. 149, DQ4L1 TE p. 252). </w:t>
            </w:r>
          </w:p>
        </w:tc>
        <w:tc>
          <w:tcPr>
            <w:tcW w:w="4800" w:type="dxa"/>
          </w:tcPr>
          <w:p w14:paraId="29BAEA26"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F1DC889" wp14:editId="24A30531">
                  <wp:extent cx="2619375" cy="2771775"/>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2619375" cy="2771775"/>
                          </a:xfrm>
                          <a:prstGeom prst="rect">
                            <a:avLst/>
                          </a:prstGeom>
                          <a:ln/>
                        </pic:spPr>
                      </pic:pic>
                    </a:graphicData>
                  </a:graphic>
                </wp:inline>
              </w:drawing>
            </w:r>
          </w:p>
          <w:p w14:paraId="02B56F01"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DQ1L2 TE p. 20</w:t>
            </w:r>
          </w:p>
          <w:p w14:paraId="05701983" w14:textId="77777777" w:rsidR="00456479" w:rsidRDefault="00456479">
            <w:pPr>
              <w:pStyle w:val="normal0"/>
              <w:ind w:left="90"/>
              <w:rPr>
                <w:rFonts w:ascii="Muli" w:eastAsia="Muli" w:hAnsi="Muli" w:cs="Muli"/>
                <w:b/>
                <w:color w:val="FF126D"/>
                <w:sz w:val="20"/>
                <w:szCs w:val="20"/>
              </w:rPr>
            </w:pPr>
          </w:p>
          <w:p w14:paraId="388F6726"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D0ADEFA" wp14:editId="4518DCCF">
                  <wp:extent cx="2466026" cy="2833688"/>
                  <wp:effectExtent l="0" t="0" r="0" b="0"/>
                  <wp:docPr id="5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2466026" cy="2833688"/>
                          </a:xfrm>
                          <a:prstGeom prst="rect">
                            <a:avLst/>
                          </a:prstGeom>
                          <a:ln/>
                        </pic:spPr>
                      </pic:pic>
                    </a:graphicData>
                  </a:graphic>
                </wp:inline>
              </w:drawing>
            </w:r>
          </w:p>
          <w:p w14:paraId="7074DBE2"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DQ1L6 TE p. 50</w:t>
            </w:r>
          </w:p>
        </w:tc>
      </w:tr>
      <w:tr w:rsidR="00456479" w14:paraId="60F5BABB" w14:textId="77777777">
        <w:trPr>
          <w:trHeight w:val="2640"/>
        </w:trPr>
        <w:tc>
          <w:tcPr>
            <w:tcW w:w="9390" w:type="dxa"/>
          </w:tcPr>
          <w:p w14:paraId="63E17958"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lastRenderedPageBreak/>
              <w:t xml:space="preserve">Integrated Special </w:t>
            </w:r>
            <w:r>
              <w:rPr>
                <w:rFonts w:ascii="Muli" w:eastAsia="Muli" w:hAnsi="Muli" w:cs="Muli"/>
                <w:sz w:val="20"/>
                <w:szCs w:val="20"/>
              </w:rPr>
              <w:t>Needs sidebars offer teachers guidance to support students of all abilities as they participation in class activities and grasp key concepts (</w:t>
            </w:r>
            <w:r>
              <w:rPr>
                <w:rFonts w:ascii="Muli" w:eastAsia="Muli" w:hAnsi="Muli" w:cs="Muli"/>
                <w:b/>
                <w:color w:val="FF126D"/>
                <w:sz w:val="20"/>
                <w:szCs w:val="20"/>
              </w:rPr>
              <w:t>DQ2L7 TE p. 151</w:t>
            </w:r>
            <w:r>
              <w:rPr>
                <w:rFonts w:ascii="Muli" w:eastAsia="Muli" w:hAnsi="Muli" w:cs="Muli"/>
                <w:sz w:val="20"/>
                <w:szCs w:val="20"/>
              </w:rPr>
              <w:t xml:space="preserve">, </w:t>
            </w:r>
            <w:r>
              <w:rPr>
                <w:rFonts w:ascii="Muli" w:eastAsia="Muli" w:hAnsi="Muli" w:cs="Muli"/>
                <w:b/>
                <w:color w:val="FF126D"/>
                <w:sz w:val="20"/>
                <w:szCs w:val="20"/>
              </w:rPr>
              <w:t>DQ3L1 TE p. 193</w:t>
            </w:r>
            <w:r>
              <w:rPr>
                <w:rFonts w:ascii="Muli" w:eastAsia="Muli" w:hAnsi="Muli" w:cs="Muli"/>
                <w:sz w:val="20"/>
                <w:szCs w:val="20"/>
              </w:rPr>
              <w:t>, DQ3L3 TE p. 207, DQ4L4 TE p. 275).</w:t>
            </w:r>
          </w:p>
        </w:tc>
        <w:tc>
          <w:tcPr>
            <w:tcW w:w="4800" w:type="dxa"/>
          </w:tcPr>
          <w:p w14:paraId="5BF90A92" w14:textId="77777777" w:rsidR="00456479" w:rsidRDefault="00267ACA">
            <w:pPr>
              <w:pStyle w:val="normal0"/>
              <w:ind w:right="383"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65DBCFAF" wp14:editId="3CBB4849">
                  <wp:extent cx="2476500" cy="1352550"/>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b="11250"/>
                          <a:stretch>
                            <a:fillRect/>
                          </a:stretch>
                        </pic:blipFill>
                        <pic:spPr>
                          <a:xfrm>
                            <a:off x="0" y="0"/>
                            <a:ext cx="2476500" cy="1352550"/>
                          </a:xfrm>
                          <a:prstGeom prst="rect">
                            <a:avLst/>
                          </a:prstGeom>
                          <a:ln/>
                        </pic:spPr>
                      </pic:pic>
                    </a:graphicData>
                  </a:graphic>
                </wp:inline>
              </w:drawing>
            </w:r>
          </w:p>
          <w:p w14:paraId="7C176890" w14:textId="77777777" w:rsidR="00456479" w:rsidRDefault="00267ACA">
            <w:pPr>
              <w:pStyle w:val="normal0"/>
              <w:ind w:firstLine="90"/>
              <w:rPr>
                <w:rFonts w:ascii="Muli" w:eastAsia="Muli" w:hAnsi="Muli" w:cs="Muli"/>
                <w:b/>
                <w:color w:val="FF126D"/>
                <w:sz w:val="20"/>
                <w:szCs w:val="20"/>
              </w:rPr>
            </w:pPr>
            <w:r>
              <w:rPr>
                <w:rFonts w:ascii="Muli" w:eastAsia="Muli" w:hAnsi="Muli" w:cs="Muli"/>
                <w:b/>
                <w:color w:val="FF126D"/>
                <w:sz w:val="20"/>
                <w:szCs w:val="20"/>
              </w:rPr>
              <w:t>DQ2L7 TE p. 151</w:t>
            </w:r>
          </w:p>
          <w:p w14:paraId="2913613D" w14:textId="77777777" w:rsidR="00456479" w:rsidRDefault="00456479">
            <w:pPr>
              <w:pStyle w:val="normal0"/>
              <w:ind w:firstLine="90"/>
              <w:rPr>
                <w:rFonts w:ascii="Muli" w:eastAsia="Muli" w:hAnsi="Muli" w:cs="Muli"/>
                <w:b/>
                <w:color w:val="FF126D"/>
                <w:sz w:val="20"/>
                <w:szCs w:val="20"/>
              </w:rPr>
            </w:pPr>
          </w:p>
          <w:p w14:paraId="67861DA0" w14:textId="77777777" w:rsidR="00456479" w:rsidRDefault="00267ACA">
            <w:pPr>
              <w:pStyle w:val="normal0"/>
              <w:ind w:firstLine="9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77D0FEF2" wp14:editId="27D16F5E">
                  <wp:extent cx="2505075" cy="2590800"/>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b="8108"/>
                          <a:stretch>
                            <a:fillRect/>
                          </a:stretch>
                        </pic:blipFill>
                        <pic:spPr>
                          <a:xfrm>
                            <a:off x="0" y="0"/>
                            <a:ext cx="2505075" cy="2590800"/>
                          </a:xfrm>
                          <a:prstGeom prst="rect">
                            <a:avLst/>
                          </a:prstGeom>
                          <a:ln/>
                        </pic:spPr>
                      </pic:pic>
                    </a:graphicData>
                  </a:graphic>
                </wp:inline>
              </w:drawing>
            </w:r>
          </w:p>
          <w:p w14:paraId="1F2B735F" w14:textId="77777777" w:rsidR="00456479" w:rsidRDefault="00267ACA">
            <w:pPr>
              <w:pStyle w:val="normal0"/>
              <w:ind w:firstLine="90"/>
              <w:rPr>
                <w:rFonts w:ascii="Muli" w:eastAsia="Muli" w:hAnsi="Muli" w:cs="Muli"/>
                <w:b/>
                <w:color w:val="FF126D"/>
                <w:sz w:val="20"/>
                <w:szCs w:val="20"/>
              </w:rPr>
            </w:pPr>
            <w:r>
              <w:rPr>
                <w:rFonts w:ascii="Muli" w:eastAsia="Muli" w:hAnsi="Muli" w:cs="Muli"/>
                <w:sz w:val="20"/>
                <w:szCs w:val="20"/>
              </w:rPr>
              <w:t xml:space="preserve"> </w:t>
            </w:r>
            <w:r>
              <w:rPr>
                <w:rFonts w:ascii="Muli" w:eastAsia="Muli" w:hAnsi="Muli" w:cs="Muli"/>
                <w:b/>
                <w:color w:val="FF126D"/>
                <w:sz w:val="20"/>
                <w:szCs w:val="20"/>
              </w:rPr>
              <w:t>DQ3L1 TE p. 193</w:t>
            </w:r>
          </w:p>
        </w:tc>
      </w:tr>
      <w:tr w:rsidR="00456479" w14:paraId="4E200950" w14:textId="77777777">
        <w:trPr>
          <w:trHeight w:val="3460"/>
        </w:trPr>
        <w:tc>
          <w:tcPr>
            <w:tcW w:w="9390" w:type="dxa"/>
          </w:tcPr>
          <w:p w14:paraId="4E09931D"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lastRenderedPageBreak/>
              <w:t>Integrated Challenges interspersed throughout the TB support GATE students who have met the learning goals (</w:t>
            </w:r>
            <w:r>
              <w:rPr>
                <w:rFonts w:ascii="Muli" w:eastAsia="Muli" w:hAnsi="Muli" w:cs="Muli"/>
                <w:b/>
                <w:color w:val="FF126D"/>
                <w:sz w:val="20"/>
                <w:szCs w:val="20"/>
              </w:rPr>
              <w:t>DQ1L3 TB p. 11</w:t>
            </w:r>
            <w:r>
              <w:rPr>
                <w:rFonts w:ascii="Muli" w:eastAsia="Muli" w:hAnsi="Muli" w:cs="Muli"/>
                <w:sz w:val="20"/>
                <w:szCs w:val="20"/>
              </w:rPr>
              <w:t xml:space="preserve">, </w:t>
            </w:r>
            <w:r>
              <w:rPr>
                <w:rFonts w:ascii="Muli" w:eastAsia="Muli" w:hAnsi="Muli" w:cs="Muli"/>
                <w:b/>
                <w:color w:val="FF126D"/>
                <w:sz w:val="20"/>
                <w:szCs w:val="20"/>
              </w:rPr>
              <w:t>DQ2L3 TB p. 59</w:t>
            </w:r>
            <w:r>
              <w:rPr>
                <w:rFonts w:ascii="Muli" w:eastAsia="Muli" w:hAnsi="Muli" w:cs="Muli"/>
                <w:sz w:val="20"/>
                <w:szCs w:val="20"/>
              </w:rPr>
              <w:t xml:space="preserve">, DQ2L5 TB p. 65, DQ2L7 TB p. 71, DQ3L3 TB p. 100). </w:t>
            </w:r>
          </w:p>
        </w:tc>
        <w:tc>
          <w:tcPr>
            <w:tcW w:w="4800" w:type="dxa"/>
          </w:tcPr>
          <w:p w14:paraId="605DB10D" w14:textId="77777777" w:rsidR="00456479" w:rsidRDefault="00267ACA">
            <w:pPr>
              <w:pStyle w:val="normal0"/>
              <w:ind w:firstLine="90"/>
              <w:rPr>
                <w:rFonts w:ascii="Muli" w:eastAsia="Muli" w:hAnsi="Muli" w:cs="Muli"/>
                <w:sz w:val="20"/>
                <w:szCs w:val="20"/>
              </w:rPr>
            </w:pPr>
            <w:r>
              <w:rPr>
                <w:rFonts w:ascii="Muli" w:eastAsia="Muli" w:hAnsi="Muli" w:cs="Muli"/>
                <w:b/>
                <w:noProof/>
                <w:color w:val="FF126D"/>
                <w:sz w:val="20"/>
                <w:szCs w:val="20"/>
              </w:rPr>
              <w:drawing>
                <wp:inline distT="114300" distB="114300" distL="114300" distR="114300" wp14:anchorId="28AA40E4" wp14:editId="26883934">
                  <wp:extent cx="2767013" cy="1665412"/>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2767013" cy="1665412"/>
                          </a:xfrm>
                          <a:prstGeom prst="rect">
                            <a:avLst/>
                          </a:prstGeom>
                          <a:ln/>
                        </pic:spPr>
                      </pic:pic>
                    </a:graphicData>
                  </a:graphic>
                </wp:inline>
              </w:drawing>
            </w:r>
          </w:p>
          <w:p w14:paraId="055E20AF" w14:textId="77777777" w:rsidR="00456479" w:rsidRDefault="00267ACA">
            <w:pPr>
              <w:pStyle w:val="normal0"/>
              <w:ind w:firstLine="90"/>
              <w:rPr>
                <w:rFonts w:ascii="Muli" w:eastAsia="Muli" w:hAnsi="Muli" w:cs="Muli"/>
                <w:b/>
                <w:color w:val="FF126D"/>
                <w:sz w:val="20"/>
                <w:szCs w:val="20"/>
              </w:rPr>
            </w:pPr>
            <w:r>
              <w:rPr>
                <w:rFonts w:ascii="Muli" w:eastAsia="Muli" w:hAnsi="Muli" w:cs="Muli"/>
                <w:b/>
                <w:color w:val="FF126D"/>
                <w:sz w:val="20"/>
                <w:szCs w:val="20"/>
              </w:rPr>
              <w:t>DQ1L3 TB p. 11</w:t>
            </w:r>
          </w:p>
          <w:p w14:paraId="07188EB4" w14:textId="77777777" w:rsidR="00456479" w:rsidRDefault="00456479">
            <w:pPr>
              <w:pStyle w:val="normal0"/>
              <w:ind w:firstLine="90"/>
              <w:rPr>
                <w:rFonts w:ascii="Muli" w:eastAsia="Muli" w:hAnsi="Muli" w:cs="Muli"/>
                <w:b/>
                <w:color w:val="FF126D"/>
                <w:sz w:val="20"/>
                <w:szCs w:val="20"/>
              </w:rPr>
            </w:pPr>
          </w:p>
          <w:p w14:paraId="54273A8C" w14:textId="77777777" w:rsidR="00456479" w:rsidRDefault="00267ACA">
            <w:pPr>
              <w:pStyle w:val="normal0"/>
              <w:ind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3075994" wp14:editId="5C046CDD">
                  <wp:extent cx="2890838" cy="1459012"/>
                  <wp:effectExtent l="12700" t="12700" r="12700" b="12700"/>
                  <wp:docPr id="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2890838" cy="1459012"/>
                          </a:xfrm>
                          <a:prstGeom prst="rect">
                            <a:avLst/>
                          </a:prstGeom>
                          <a:ln w="12700">
                            <a:solidFill>
                              <a:srgbClr val="CCCCCC"/>
                            </a:solidFill>
                            <a:prstDash val="solid"/>
                          </a:ln>
                        </pic:spPr>
                      </pic:pic>
                    </a:graphicData>
                  </a:graphic>
                </wp:inline>
              </w:drawing>
            </w:r>
          </w:p>
          <w:p w14:paraId="7FFDFEAC" w14:textId="77777777" w:rsidR="00456479" w:rsidRDefault="00267ACA">
            <w:pPr>
              <w:pStyle w:val="normal0"/>
              <w:ind w:firstLine="90"/>
              <w:rPr>
                <w:rFonts w:ascii="Muli" w:eastAsia="Muli" w:hAnsi="Muli" w:cs="Muli"/>
                <w:b/>
                <w:color w:val="FF126D"/>
                <w:sz w:val="20"/>
                <w:szCs w:val="20"/>
              </w:rPr>
            </w:pPr>
            <w:r>
              <w:rPr>
                <w:rFonts w:ascii="Muli" w:eastAsia="Muli" w:hAnsi="Muli" w:cs="Muli"/>
                <w:b/>
                <w:color w:val="FF126D"/>
                <w:sz w:val="20"/>
                <w:szCs w:val="20"/>
              </w:rPr>
              <w:t>DQ2L3 TB p. 59</w:t>
            </w:r>
          </w:p>
        </w:tc>
      </w:tr>
      <w:tr w:rsidR="00456479" w14:paraId="5D40DFE4" w14:textId="77777777">
        <w:trPr>
          <w:trHeight w:val="600"/>
        </w:trPr>
        <w:tc>
          <w:tcPr>
            <w:tcW w:w="9390" w:type="dxa"/>
          </w:tcPr>
          <w:p w14:paraId="3E123394"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lastRenderedPageBreak/>
              <w:t xml:space="preserve">Videos like </w:t>
            </w:r>
            <w:r>
              <w:rPr>
                <w:rFonts w:ascii="Muli" w:eastAsia="Muli" w:hAnsi="Muli" w:cs="Muli"/>
                <w:b/>
                <w:color w:val="FF126D"/>
                <w:sz w:val="20"/>
                <w:szCs w:val="20"/>
              </w:rPr>
              <w:t>Courtship Rituals: Puffer Fish</w:t>
            </w:r>
            <w:r>
              <w:rPr>
                <w:rFonts w:ascii="Muli" w:eastAsia="Muli" w:hAnsi="Muli" w:cs="Muli"/>
                <w:sz w:val="20"/>
                <w:szCs w:val="20"/>
              </w:rPr>
              <w:t xml:space="preserve"> (DQ1L3), </w:t>
            </w:r>
            <w:r>
              <w:rPr>
                <w:rFonts w:ascii="Muli" w:eastAsia="Muli" w:hAnsi="Muli" w:cs="Muli"/>
                <w:color w:val="0000FF"/>
                <w:sz w:val="20"/>
                <w:szCs w:val="20"/>
              </w:rPr>
              <w:t>Whitebark Pine Tree</w:t>
            </w:r>
            <w:r>
              <w:rPr>
                <w:rFonts w:ascii="Muli" w:eastAsia="Muli" w:hAnsi="Muli" w:cs="Muli"/>
                <w:sz w:val="20"/>
                <w:szCs w:val="20"/>
              </w:rPr>
              <w:t xml:space="preserve"> (DQ1L9), </w:t>
            </w:r>
            <w:r>
              <w:rPr>
                <w:rFonts w:ascii="Muli" w:eastAsia="Muli" w:hAnsi="Muli" w:cs="Muli"/>
                <w:b/>
                <w:color w:val="FF126D"/>
                <w:sz w:val="20"/>
                <w:szCs w:val="20"/>
              </w:rPr>
              <w:t>Asexual Reproduction in Animals</w:t>
            </w:r>
            <w:r>
              <w:rPr>
                <w:rFonts w:ascii="Muli" w:eastAsia="Muli" w:hAnsi="Muli" w:cs="Muli"/>
                <w:sz w:val="20"/>
                <w:szCs w:val="20"/>
              </w:rPr>
              <w:t xml:space="preserve"> (DQ2L9), and </w:t>
            </w:r>
            <w:r>
              <w:rPr>
                <w:rFonts w:ascii="Muli" w:eastAsia="Muli" w:hAnsi="Muli" w:cs="Muli"/>
                <w:color w:val="0000FF"/>
                <w:sz w:val="20"/>
                <w:szCs w:val="20"/>
              </w:rPr>
              <w:t>Saving Sea Turtles</w:t>
            </w:r>
            <w:r>
              <w:rPr>
                <w:rFonts w:ascii="Muli" w:eastAsia="Muli" w:hAnsi="Muli" w:cs="Muli"/>
                <w:sz w:val="20"/>
                <w:szCs w:val="20"/>
              </w:rPr>
              <w:t xml:space="preserve"> (DQ4L3) bring phenomena and concepts to life for all students. </w:t>
            </w:r>
          </w:p>
        </w:tc>
        <w:tc>
          <w:tcPr>
            <w:tcW w:w="4800" w:type="dxa"/>
          </w:tcPr>
          <w:p w14:paraId="5B5195B9" w14:textId="77777777" w:rsidR="00456479" w:rsidRDefault="00267ACA">
            <w:pPr>
              <w:pStyle w:val="normal0"/>
              <w:ind w:left="90" w:right="383"/>
              <w:rPr>
                <w:rFonts w:ascii="Muli" w:eastAsia="Muli" w:hAnsi="Muli" w:cs="Muli"/>
                <w:b/>
                <w:color w:val="FF126D"/>
                <w:sz w:val="20"/>
                <w:szCs w:val="20"/>
              </w:rPr>
            </w:pPr>
            <w:r>
              <w:rPr>
                <w:rFonts w:ascii="Muli" w:eastAsia="Muli" w:hAnsi="Muli" w:cs="Muli"/>
                <w:noProof/>
                <w:sz w:val="20"/>
                <w:szCs w:val="20"/>
              </w:rPr>
              <w:drawing>
                <wp:inline distT="114300" distB="114300" distL="114300" distR="114300" wp14:anchorId="30D13BEB" wp14:editId="65F473D8">
                  <wp:extent cx="2338388" cy="1867085"/>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2338388" cy="1867085"/>
                          </a:xfrm>
                          <a:prstGeom prst="rect">
                            <a:avLst/>
                          </a:prstGeom>
                          <a:ln/>
                        </pic:spPr>
                      </pic:pic>
                    </a:graphicData>
                  </a:graphic>
                </wp:inline>
              </w:drawing>
            </w:r>
            <w:r>
              <w:rPr>
                <w:rFonts w:ascii="Muli" w:eastAsia="Muli" w:hAnsi="Muli" w:cs="Muli"/>
                <w:b/>
                <w:color w:val="FF126D"/>
                <w:sz w:val="20"/>
                <w:szCs w:val="20"/>
              </w:rPr>
              <w:t>Courtship Rituals: Puffer Fish</w:t>
            </w:r>
          </w:p>
          <w:p w14:paraId="63E9B5B1" w14:textId="77777777" w:rsidR="00456479" w:rsidRDefault="00267ACA">
            <w:pPr>
              <w:pStyle w:val="normal0"/>
              <w:ind w:left="90" w:right="383"/>
              <w:rPr>
                <w:rFonts w:ascii="Muli" w:eastAsia="Muli" w:hAnsi="Muli" w:cs="Muli"/>
                <w:sz w:val="20"/>
                <w:szCs w:val="20"/>
              </w:rPr>
            </w:pPr>
            <w:r>
              <w:rPr>
                <w:rFonts w:ascii="Muli" w:eastAsia="Muli" w:hAnsi="Muli" w:cs="Muli"/>
                <w:noProof/>
                <w:sz w:val="20"/>
                <w:szCs w:val="20"/>
              </w:rPr>
              <w:drawing>
                <wp:inline distT="114300" distB="114300" distL="114300" distR="114300" wp14:anchorId="6E0D1EA0" wp14:editId="085CD551">
                  <wp:extent cx="2347913" cy="2031847"/>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2347913" cy="2031847"/>
                          </a:xfrm>
                          <a:prstGeom prst="rect">
                            <a:avLst/>
                          </a:prstGeom>
                          <a:ln/>
                        </pic:spPr>
                      </pic:pic>
                    </a:graphicData>
                  </a:graphic>
                </wp:inline>
              </w:drawing>
            </w:r>
          </w:p>
          <w:p w14:paraId="17EC3F30"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Asexual Reproduction in Animals</w:t>
            </w:r>
          </w:p>
        </w:tc>
      </w:tr>
    </w:tbl>
    <w:p w14:paraId="1CDA044C" w14:textId="77777777" w:rsidR="00456479" w:rsidRDefault="00267ACA">
      <w:pPr>
        <w:pStyle w:val="normal0"/>
        <w:spacing w:line="276" w:lineRule="auto"/>
        <w:rPr>
          <w:rFonts w:ascii="Muli" w:eastAsia="Muli" w:hAnsi="Muli" w:cs="Muli"/>
          <w:sz w:val="20"/>
          <w:szCs w:val="20"/>
        </w:rPr>
      </w:pPr>
      <w:r>
        <w:br w:type="page"/>
      </w:r>
    </w:p>
    <w:p w14:paraId="72E3A29C" w14:textId="77777777" w:rsidR="00456479" w:rsidRDefault="00456479">
      <w:pPr>
        <w:pStyle w:val="normal0"/>
        <w:spacing w:line="276" w:lineRule="auto"/>
        <w:rPr>
          <w:rFonts w:ascii="Muli" w:eastAsia="Muli" w:hAnsi="Muli" w:cs="Muli"/>
          <w:sz w:val="20"/>
          <w:szCs w:val="20"/>
        </w:rPr>
      </w:pPr>
    </w:p>
    <w:tbl>
      <w:tblPr>
        <w:tblStyle w:val="a1"/>
        <w:tblW w:w="1434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2370"/>
        <w:gridCol w:w="2370"/>
        <w:gridCol w:w="2370"/>
      </w:tblGrid>
      <w:tr w:rsidR="00456479" w14:paraId="20595885" w14:textId="77777777">
        <w:trPr>
          <w:trHeight w:val="480"/>
        </w:trPr>
        <w:tc>
          <w:tcPr>
            <w:tcW w:w="7230" w:type="dxa"/>
            <w:shd w:val="clear" w:color="auto" w:fill="2F5496"/>
          </w:tcPr>
          <w:p w14:paraId="21E2340F" w14:textId="77777777" w:rsidR="00456479" w:rsidRDefault="00267ACA">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t>Designed for the NGSS: Foundations</w:t>
            </w:r>
          </w:p>
        </w:tc>
        <w:tc>
          <w:tcPr>
            <w:tcW w:w="2370" w:type="dxa"/>
            <w:shd w:val="clear" w:color="auto" w:fill="2F5496"/>
          </w:tcPr>
          <w:p w14:paraId="7DF3E0D0" w14:textId="77777777" w:rsidR="00456479" w:rsidRDefault="00267ACA">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100482B4" w14:textId="77777777" w:rsidR="00456479" w:rsidRDefault="00267ACA">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2370" w:type="dxa"/>
            <w:shd w:val="clear" w:color="auto" w:fill="2F5496"/>
          </w:tcPr>
          <w:p w14:paraId="1816DFAD" w14:textId="77777777" w:rsidR="00456479" w:rsidRDefault="00267ACA">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408FB0BC" w14:textId="77777777" w:rsidR="00456479" w:rsidRDefault="00267ACA">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3</w:t>
            </w:r>
          </w:p>
        </w:tc>
        <w:tc>
          <w:tcPr>
            <w:tcW w:w="2370" w:type="dxa"/>
            <w:shd w:val="clear" w:color="auto" w:fill="2F5496"/>
          </w:tcPr>
          <w:p w14:paraId="637C01AC" w14:textId="77777777" w:rsidR="00456479" w:rsidRDefault="00267ACA">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27591A79" w14:textId="77777777" w:rsidR="00456479" w:rsidRDefault="00267ACA">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1</w:t>
            </w:r>
          </w:p>
        </w:tc>
      </w:tr>
      <w:tr w:rsidR="00456479" w14:paraId="47E73A45" w14:textId="77777777">
        <w:trPr>
          <w:trHeight w:val="2040"/>
        </w:trPr>
        <w:tc>
          <w:tcPr>
            <w:tcW w:w="7230" w:type="dxa"/>
          </w:tcPr>
          <w:p w14:paraId="1EA5A183" w14:textId="77777777" w:rsidR="00456479" w:rsidRDefault="00267ACA">
            <w:pPr>
              <w:pStyle w:val="normal0"/>
              <w:spacing w:before="1"/>
              <w:ind w:left="180"/>
              <w:rPr>
                <w:rFonts w:ascii="Muli" w:eastAsia="Muli" w:hAnsi="Muli" w:cs="Muli"/>
                <w:sz w:val="20"/>
                <w:szCs w:val="20"/>
              </w:rPr>
            </w:pPr>
            <w:r>
              <w:rPr>
                <w:rFonts w:ascii="Muli" w:eastAsia="Muli" w:hAnsi="Muli" w:cs="Muli"/>
                <w:b/>
                <w:sz w:val="20"/>
                <w:szCs w:val="20"/>
              </w:rPr>
              <w:t xml:space="preserve">SW1. Phenomena/Problems. </w:t>
            </w:r>
            <w:r>
              <w:rPr>
                <w:rFonts w:ascii="Muli" w:eastAsia="Muli" w:hAnsi="Muli" w:cs="Muli"/>
                <w:sz w:val="20"/>
                <w:szCs w:val="20"/>
              </w:rPr>
              <w:t>Materials provide phenomena/problems that:</w:t>
            </w:r>
          </w:p>
          <w:p w14:paraId="5331E519" w14:textId="77777777" w:rsidR="00456479" w:rsidRDefault="00267ACA">
            <w:pPr>
              <w:pStyle w:val="normal0"/>
              <w:numPr>
                <w:ilvl w:val="0"/>
                <w:numId w:val="17"/>
              </w:numPr>
              <w:tabs>
                <w:tab w:val="left" w:pos="460"/>
                <w:tab w:val="left" w:pos="461"/>
              </w:tabs>
              <w:spacing w:before="1"/>
              <w:contextualSpacing/>
              <w:rPr>
                <w:rFonts w:ascii="Muli" w:eastAsia="Muli" w:hAnsi="Muli" w:cs="Muli"/>
                <w:sz w:val="20"/>
                <w:szCs w:val="20"/>
              </w:rPr>
            </w:pPr>
            <w:r>
              <w:rPr>
                <w:rFonts w:ascii="Muli" w:eastAsia="Muli" w:hAnsi="Muli" w:cs="Muli"/>
                <w:sz w:val="20"/>
                <w:szCs w:val="20"/>
              </w:rPr>
              <w:t>engage students as directly as possible in authentic and relevant experiences;</w:t>
            </w:r>
          </w:p>
          <w:p w14:paraId="3C2EC700" w14:textId="77777777" w:rsidR="00456479" w:rsidRDefault="00267ACA">
            <w:pPr>
              <w:pStyle w:val="normal0"/>
              <w:numPr>
                <w:ilvl w:val="0"/>
                <w:numId w:val="17"/>
              </w:numPr>
              <w:tabs>
                <w:tab w:val="left" w:pos="460"/>
                <w:tab w:val="left" w:pos="461"/>
              </w:tabs>
              <w:spacing w:line="242" w:lineRule="auto"/>
              <w:contextualSpacing/>
              <w:rPr>
                <w:rFonts w:ascii="Muli" w:eastAsia="Muli" w:hAnsi="Muli" w:cs="Muli"/>
                <w:sz w:val="20"/>
                <w:szCs w:val="20"/>
              </w:rPr>
            </w:pPr>
            <w:r>
              <w:rPr>
                <w:rFonts w:ascii="Muli" w:eastAsia="Muli" w:hAnsi="Muli" w:cs="Muli"/>
                <w:sz w:val="20"/>
                <w:szCs w:val="20"/>
              </w:rPr>
              <w:t>are matched to targeted learning goals;</w:t>
            </w:r>
          </w:p>
          <w:p w14:paraId="69951973" w14:textId="77777777" w:rsidR="00456479" w:rsidRDefault="00267ACA">
            <w:pPr>
              <w:pStyle w:val="normal0"/>
              <w:numPr>
                <w:ilvl w:val="0"/>
                <w:numId w:val="17"/>
              </w:numPr>
              <w:tabs>
                <w:tab w:val="left" w:pos="460"/>
                <w:tab w:val="left" w:pos="461"/>
              </w:tabs>
              <w:spacing w:line="242" w:lineRule="auto"/>
              <w:contextualSpacing/>
              <w:rPr>
                <w:rFonts w:ascii="Muli" w:eastAsia="Muli" w:hAnsi="Muli" w:cs="Muli"/>
                <w:sz w:val="20"/>
                <w:szCs w:val="20"/>
              </w:rPr>
            </w:pPr>
            <w:r>
              <w:rPr>
                <w:rFonts w:ascii="Muli" w:eastAsia="Muli" w:hAnsi="Muli" w:cs="Muli"/>
                <w:sz w:val="20"/>
                <w:szCs w:val="20"/>
              </w:rPr>
              <w:t>can be figured out/solved using scientifically accurate understandings and abilities;</w:t>
            </w:r>
          </w:p>
          <w:p w14:paraId="17FE3170" w14:textId="77777777" w:rsidR="00456479" w:rsidRDefault="00267ACA">
            <w:pPr>
              <w:pStyle w:val="normal0"/>
              <w:numPr>
                <w:ilvl w:val="0"/>
                <w:numId w:val="17"/>
              </w:numPr>
              <w:tabs>
                <w:tab w:val="left" w:pos="460"/>
                <w:tab w:val="left" w:pos="461"/>
              </w:tabs>
              <w:spacing w:before="1"/>
              <w:ind w:right="794"/>
              <w:contextualSpacing/>
              <w:rPr>
                <w:rFonts w:ascii="Muli" w:eastAsia="Muli" w:hAnsi="Muli" w:cs="Muli"/>
                <w:sz w:val="20"/>
                <w:szCs w:val="20"/>
              </w:rPr>
            </w:pPr>
            <w:r>
              <w:rPr>
                <w:rFonts w:ascii="Muli" w:eastAsia="Muli" w:hAnsi="Muli" w:cs="Muli"/>
                <w:sz w:val="20"/>
                <w:szCs w:val="20"/>
              </w:rPr>
              <w:t>make connections beyond and to their daily lives, i</w:t>
            </w:r>
            <w:r>
              <w:rPr>
                <w:rFonts w:ascii="Muli" w:eastAsia="Muli" w:hAnsi="Muli" w:cs="Muli"/>
                <w:sz w:val="20"/>
                <w:szCs w:val="20"/>
              </w:rPr>
              <w:t>ncluding to their homes, neighborhoods, communities, and/or cultures.</w:t>
            </w:r>
          </w:p>
        </w:tc>
        <w:tc>
          <w:tcPr>
            <w:tcW w:w="2370" w:type="dxa"/>
          </w:tcPr>
          <w:p w14:paraId="0DBB554E" w14:textId="77777777" w:rsidR="00456479" w:rsidRDefault="00267ACA">
            <w:pPr>
              <w:pStyle w:val="normal0"/>
              <w:spacing w:before="1"/>
              <w:ind w:left="180" w:right="103"/>
              <w:rPr>
                <w:rFonts w:ascii="Muli" w:eastAsia="Muli" w:hAnsi="Muli" w:cs="Muli"/>
                <w:sz w:val="20"/>
                <w:szCs w:val="20"/>
              </w:rPr>
            </w:pPr>
            <w:r>
              <w:rPr>
                <w:rFonts w:ascii="Muli" w:eastAsia="Muli" w:hAnsi="Muli" w:cs="Muli"/>
                <w:sz w:val="20"/>
                <w:szCs w:val="20"/>
              </w:rPr>
              <w:t>Materials consistently offer quality phenomena/problems sufficient to motivate and drive student learning.</w:t>
            </w:r>
          </w:p>
        </w:tc>
        <w:tc>
          <w:tcPr>
            <w:tcW w:w="2370" w:type="dxa"/>
          </w:tcPr>
          <w:p w14:paraId="66C44CFA" w14:textId="77777777" w:rsidR="00456479" w:rsidRDefault="00267ACA">
            <w:pPr>
              <w:pStyle w:val="normal0"/>
              <w:spacing w:before="1"/>
              <w:ind w:left="180" w:right="142"/>
              <w:rPr>
                <w:rFonts w:ascii="Muli" w:eastAsia="Muli" w:hAnsi="Muli" w:cs="Muli"/>
                <w:sz w:val="20"/>
                <w:szCs w:val="20"/>
              </w:rPr>
            </w:pPr>
            <w:r>
              <w:rPr>
                <w:rFonts w:ascii="Muli" w:eastAsia="Muli" w:hAnsi="Muli" w:cs="Muli"/>
                <w:sz w:val="20"/>
                <w:szCs w:val="20"/>
              </w:rPr>
              <w:t>Materials sometimes offer quality phenomena/problems sufficient to motivate and drive student learning.</w:t>
            </w:r>
          </w:p>
        </w:tc>
        <w:tc>
          <w:tcPr>
            <w:tcW w:w="2370" w:type="dxa"/>
          </w:tcPr>
          <w:p w14:paraId="13CA0324" w14:textId="77777777" w:rsidR="00456479" w:rsidRDefault="00267ACA">
            <w:pPr>
              <w:pStyle w:val="normal0"/>
              <w:spacing w:before="1"/>
              <w:ind w:left="180" w:right="445"/>
              <w:rPr>
                <w:rFonts w:ascii="Muli" w:eastAsia="Muli" w:hAnsi="Muli" w:cs="Muli"/>
                <w:sz w:val="20"/>
                <w:szCs w:val="20"/>
              </w:rPr>
            </w:pPr>
            <w:r>
              <w:rPr>
                <w:rFonts w:ascii="Muli" w:eastAsia="Muli" w:hAnsi="Muli" w:cs="Muli"/>
                <w:sz w:val="20"/>
                <w:szCs w:val="20"/>
              </w:rPr>
              <w:t>Materials rarely offer quality phenomena/problems sufficient to motivate and drive student learning.</w:t>
            </w:r>
          </w:p>
        </w:tc>
      </w:tr>
      <w:tr w:rsidR="00456479" w14:paraId="22E4F641" w14:textId="77777777">
        <w:trPr>
          <w:trHeight w:val="2720"/>
        </w:trPr>
        <w:tc>
          <w:tcPr>
            <w:tcW w:w="7230" w:type="dxa"/>
          </w:tcPr>
          <w:p w14:paraId="0CB339C5" w14:textId="77777777" w:rsidR="00456479" w:rsidRDefault="00267ACA">
            <w:pPr>
              <w:pStyle w:val="normal0"/>
              <w:spacing w:before="1"/>
              <w:ind w:left="180" w:right="157"/>
              <w:rPr>
                <w:rFonts w:ascii="Muli" w:eastAsia="Muli" w:hAnsi="Muli" w:cs="Muli"/>
                <w:sz w:val="20"/>
                <w:szCs w:val="20"/>
              </w:rPr>
            </w:pPr>
            <w:r>
              <w:rPr>
                <w:rFonts w:ascii="Muli" w:eastAsia="Muli" w:hAnsi="Muli" w:cs="Muli"/>
                <w:b/>
                <w:color w:val="1C1C1C"/>
                <w:sz w:val="20"/>
                <w:szCs w:val="20"/>
              </w:rPr>
              <w:t xml:space="preserve">SW2. Three-dimensional Conceptual Framework. </w:t>
            </w:r>
            <w:r>
              <w:rPr>
                <w:rFonts w:ascii="Muli" w:eastAsia="Muli" w:hAnsi="Muli" w:cs="Muli"/>
                <w:color w:val="1C1C1C"/>
                <w:sz w:val="20"/>
                <w:szCs w:val="20"/>
              </w:rPr>
              <w:t>Mater</w:t>
            </w:r>
            <w:r>
              <w:rPr>
                <w:rFonts w:ascii="Muli" w:eastAsia="Muli" w:hAnsi="Muli" w:cs="Muli"/>
                <w:color w:val="1C1C1C"/>
                <w:sz w:val="20"/>
                <w:szCs w:val="20"/>
              </w:rPr>
              <w:t>ials include learning experiences that help students to build scientifically accurate understandings and abilities through opportunities for students to:</w:t>
            </w:r>
          </w:p>
          <w:p w14:paraId="52BBDFBB" w14:textId="77777777" w:rsidR="00456479" w:rsidRDefault="00267ACA">
            <w:pPr>
              <w:pStyle w:val="normal0"/>
              <w:numPr>
                <w:ilvl w:val="0"/>
                <w:numId w:val="18"/>
              </w:numPr>
              <w:tabs>
                <w:tab w:val="left" w:pos="474"/>
                <w:tab w:val="left" w:pos="475"/>
              </w:tabs>
              <w:spacing w:line="244" w:lineRule="auto"/>
              <w:contextualSpacing/>
              <w:rPr>
                <w:rFonts w:ascii="Muli" w:eastAsia="Muli" w:hAnsi="Muli" w:cs="Muli"/>
                <w:color w:val="1C1C1C"/>
                <w:sz w:val="20"/>
                <w:szCs w:val="20"/>
              </w:rPr>
            </w:pPr>
            <w:r>
              <w:rPr>
                <w:rFonts w:ascii="Muli" w:eastAsia="Muli" w:hAnsi="Muli" w:cs="Muli"/>
                <w:color w:val="1C1C1C"/>
                <w:sz w:val="20"/>
                <w:szCs w:val="20"/>
              </w:rPr>
              <w:t>link prior knowledge to negotiated new understanding and abilities;</w:t>
            </w:r>
          </w:p>
          <w:p w14:paraId="0C82E65F" w14:textId="77777777" w:rsidR="00456479" w:rsidRDefault="00267ACA">
            <w:pPr>
              <w:pStyle w:val="normal0"/>
              <w:numPr>
                <w:ilvl w:val="0"/>
                <w:numId w:val="18"/>
              </w:numPr>
              <w:tabs>
                <w:tab w:val="left" w:pos="460"/>
                <w:tab w:val="left" w:pos="461"/>
              </w:tabs>
              <w:spacing w:before="1" w:line="242" w:lineRule="auto"/>
              <w:contextualSpacing/>
              <w:rPr>
                <w:rFonts w:ascii="Muli" w:eastAsia="Muli" w:hAnsi="Muli" w:cs="Muli"/>
                <w:sz w:val="20"/>
                <w:szCs w:val="20"/>
              </w:rPr>
            </w:pPr>
            <w:r>
              <w:rPr>
                <w:rFonts w:ascii="Muli" w:eastAsia="Muli" w:hAnsi="Muli" w:cs="Muli"/>
                <w:color w:val="1C1C1C"/>
                <w:sz w:val="20"/>
                <w:szCs w:val="20"/>
              </w:rPr>
              <w:t>use r</w:t>
            </w:r>
            <w:r>
              <w:rPr>
                <w:rFonts w:ascii="Muli" w:eastAsia="Muli" w:hAnsi="Muli" w:cs="Muli"/>
                <w:sz w:val="20"/>
                <w:szCs w:val="20"/>
              </w:rPr>
              <w:t>easoning to connect grade-app</w:t>
            </w:r>
            <w:r>
              <w:rPr>
                <w:rFonts w:ascii="Muli" w:eastAsia="Muli" w:hAnsi="Muli" w:cs="Muli"/>
                <w:sz w:val="20"/>
                <w:szCs w:val="20"/>
              </w:rPr>
              <w:t>ropriate SEP, DCI, and CCC elements;</w:t>
            </w:r>
          </w:p>
          <w:p w14:paraId="14CC9166" w14:textId="77777777" w:rsidR="00456479" w:rsidRDefault="00267ACA">
            <w:pPr>
              <w:pStyle w:val="normal0"/>
              <w:numPr>
                <w:ilvl w:val="0"/>
                <w:numId w:val="18"/>
              </w:numPr>
              <w:tabs>
                <w:tab w:val="left" w:pos="460"/>
                <w:tab w:val="left" w:pos="461"/>
              </w:tabs>
              <w:spacing w:line="242" w:lineRule="auto"/>
              <w:contextualSpacing/>
              <w:rPr>
                <w:rFonts w:ascii="Muli" w:eastAsia="Muli" w:hAnsi="Muli" w:cs="Muli"/>
                <w:sz w:val="20"/>
                <w:szCs w:val="20"/>
              </w:rPr>
            </w:pPr>
            <w:r>
              <w:rPr>
                <w:rFonts w:ascii="Muli" w:eastAsia="Muli" w:hAnsi="Muli" w:cs="Muli"/>
                <w:sz w:val="20"/>
                <w:szCs w:val="20"/>
              </w:rPr>
              <w:t>ask and answer questions that link learning over time;</w:t>
            </w:r>
          </w:p>
          <w:p w14:paraId="06F2A317" w14:textId="77777777" w:rsidR="00456479" w:rsidRDefault="00267ACA">
            <w:pPr>
              <w:pStyle w:val="normal0"/>
              <w:numPr>
                <w:ilvl w:val="0"/>
                <w:numId w:val="18"/>
              </w:numPr>
              <w:tabs>
                <w:tab w:val="left" w:pos="460"/>
                <w:tab w:val="left" w:pos="461"/>
              </w:tabs>
              <w:ind w:right="250"/>
              <w:contextualSpacing/>
              <w:rPr>
                <w:rFonts w:ascii="Muli" w:eastAsia="Muli" w:hAnsi="Muli" w:cs="Muli"/>
                <w:color w:val="1C1C1C"/>
                <w:sz w:val="20"/>
                <w:szCs w:val="20"/>
              </w:rPr>
            </w:pPr>
            <w:r>
              <w:rPr>
                <w:rFonts w:ascii="Muli" w:eastAsia="Muli" w:hAnsi="Muli" w:cs="Muli"/>
                <w:color w:val="1C1C1C"/>
                <w:sz w:val="20"/>
                <w:szCs w:val="20"/>
              </w:rPr>
              <w:t>negotiate new understandings and abilities by comparing their ideas, their peers’ ideas, and ideas encountered in the learning experience(s);</w:t>
            </w:r>
          </w:p>
          <w:p w14:paraId="25676334" w14:textId="77777777" w:rsidR="00456479" w:rsidRDefault="00267ACA">
            <w:pPr>
              <w:pStyle w:val="normal0"/>
              <w:numPr>
                <w:ilvl w:val="0"/>
                <w:numId w:val="18"/>
              </w:numPr>
              <w:tabs>
                <w:tab w:val="left" w:pos="460"/>
                <w:tab w:val="left" w:pos="461"/>
              </w:tabs>
              <w:spacing w:before="2"/>
              <w:contextualSpacing/>
              <w:rPr>
                <w:rFonts w:ascii="Muli" w:eastAsia="Muli" w:hAnsi="Muli" w:cs="Muli"/>
                <w:color w:val="1C1C1C"/>
                <w:sz w:val="20"/>
                <w:szCs w:val="20"/>
              </w:rPr>
            </w:pPr>
            <w:r>
              <w:rPr>
                <w:rFonts w:ascii="Muli" w:eastAsia="Muli" w:hAnsi="Muli" w:cs="Muli"/>
                <w:color w:val="1C1C1C"/>
                <w:sz w:val="20"/>
                <w:szCs w:val="20"/>
              </w:rPr>
              <w:t>apply their understandings and abilities in a variety of ways.</w:t>
            </w:r>
          </w:p>
        </w:tc>
        <w:tc>
          <w:tcPr>
            <w:tcW w:w="2370" w:type="dxa"/>
          </w:tcPr>
          <w:p w14:paraId="0A557E10" w14:textId="77777777" w:rsidR="00456479" w:rsidRDefault="00267ACA">
            <w:pPr>
              <w:pStyle w:val="normal0"/>
              <w:spacing w:before="1"/>
              <w:ind w:left="180" w:right="188"/>
              <w:rPr>
                <w:rFonts w:ascii="Muli" w:eastAsia="Muli" w:hAnsi="Muli" w:cs="Muli"/>
                <w:sz w:val="20"/>
                <w:szCs w:val="20"/>
              </w:rPr>
            </w:pPr>
            <w:r>
              <w:rPr>
                <w:rFonts w:ascii="Muli" w:eastAsia="Muli" w:hAnsi="Muli" w:cs="Muli"/>
                <w:sz w:val="20"/>
                <w:szCs w:val="20"/>
              </w:rPr>
              <w:t>Materials consistently include learning experiences that help students build from prior experiences to negotiate new understandings and abilities, and apply their understandings in a variety of</w:t>
            </w:r>
            <w:r>
              <w:rPr>
                <w:rFonts w:ascii="Muli" w:eastAsia="Muli" w:hAnsi="Muli" w:cs="Muli"/>
                <w:sz w:val="20"/>
                <w:szCs w:val="20"/>
              </w:rPr>
              <w:t xml:space="preserve"> ways.</w:t>
            </w:r>
          </w:p>
        </w:tc>
        <w:tc>
          <w:tcPr>
            <w:tcW w:w="2370" w:type="dxa"/>
          </w:tcPr>
          <w:p w14:paraId="0CD1D9D2" w14:textId="77777777" w:rsidR="00456479" w:rsidRDefault="00267ACA">
            <w:pPr>
              <w:pStyle w:val="normal0"/>
              <w:spacing w:before="1"/>
              <w:ind w:left="180" w:right="187"/>
              <w:rPr>
                <w:rFonts w:ascii="Muli" w:eastAsia="Muli" w:hAnsi="Muli" w:cs="Muli"/>
                <w:sz w:val="20"/>
                <w:szCs w:val="20"/>
              </w:rPr>
            </w:pPr>
            <w:r>
              <w:rPr>
                <w:rFonts w:ascii="Muli" w:eastAsia="Muli" w:hAnsi="Muli" w:cs="Muli"/>
                <w:sz w:val="20"/>
                <w:szCs w:val="20"/>
              </w:rPr>
              <w:t>Materials sometimes include learning experiences that help students build from prior experiences to negotiate new understandings and abilities, and apply their understandings in a</w:t>
            </w:r>
          </w:p>
          <w:p w14:paraId="699E14FE" w14:textId="77777777" w:rsidR="00456479" w:rsidRDefault="00267ACA">
            <w:pPr>
              <w:pStyle w:val="normal0"/>
              <w:ind w:left="180"/>
              <w:rPr>
                <w:rFonts w:ascii="Muli" w:eastAsia="Muli" w:hAnsi="Muli" w:cs="Muli"/>
                <w:sz w:val="20"/>
                <w:szCs w:val="20"/>
              </w:rPr>
            </w:pPr>
            <w:r>
              <w:rPr>
                <w:rFonts w:ascii="Muli" w:eastAsia="Muli" w:hAnsi="Muli" w:cs="Muli"/>
                <w:sz w:val="20"/>
                <w:szCs w:val="20"/>
              </w:rPr>
              <w:t>variety of ways.</w:t>
            </w:r>
          </w:p>
        </w:tc>
        <w:tc>
          <w:tcPr>
            <w:tcW w:w="2370" w:type="dxa"/>
          </w:tcPr>
          <w:p w14:paraId="70984DF4" w14:textId="77777777" w:rsidR="00456479" w:rsidRDefault="00267ACA">
            <w:pPr>
              <w:pStyle w:val="normal0"/>
              <w:spacing w:before="1"/>
              <w:ind w:left="180" w:right="170"/>
              <w:rPr>
                <w:rFonts w:ascii="Muli" w:eastAsia="Muli" w:hAnsi="Muli" w:cs="Muli"/>
                <w:sz w:val="20"/>
                <w:szCs w:val="20"/>
              </w:rPr>
            </w:pPr>
            <w:r>
              <w:rPr>
                <w:rFonts w:ascii="Muli" w:eastAsia="Muli" w:hAnsi="Muli" w:cs="Muli"/>
                <w:sz w:val="20"/>
                <w:szCs w:val="20"/>
              </w:rPr>
              <w:t>Materials rarely include learning experiences that h</w:t>
            </w:r>
            <w:r>
              <w:rPr>
                <w:rFonts w:ascii="Muli" w:eastAsia="Muli" w:hAnsi="Muli" w:cs="Muli"/>
                <w:sz w:val="20"/>
                <w:szCs w:val="20"/>
              </w:rPr>
              <w:t>elp students build from prior experiences to negotiate new understandings and abilities, and apply their understandings in a</w:t>
            </w:r>
          </w:p>
          <w:p w14:paraId="1DF3893F" w14:textId="77777777" w:rsidR="00456479" w:rsidRDefault="00267ACA">
            <w:pPr>
              <w:pStyle w:val="normal0"/>
              <w:ind w:left="180"/>
              <w:rPr>
                <w:rFonts w:ascii="Muli" w:eastAsia="Muli" w:hAnsi="Muli" w:cs="Muli"/>
                <w:sz w:val="20"/>
                <w:szCs w:val="20"/>
              </w:rPr>
            </w:pPr>
            <w:r>
              <w:rPr>
                <w:rFonts w:ascii="Muli" w:eastAsia="Muli" w:hAnsi="Muli" w:cs="Muli"/>
                <w:sz w:val="20"/>
                <w:szCs w:val="20"/>
              </w:rPr>
              <w:t>variety of ways.</w:t>
            </w:r>
          </w:p>
        </w:tc>
      </w:tr>
      <w:tr w:rsidR="00456479" w14:paraId="47A76524" w14:textId="77777777">
        <w:trPr>
          <w:trHeight w:val="1700"/>
        </w:trPr>
        <w:tc>
          <w:tcPr>
            <w:tcW w:w="7230" w:type="dxa"/>
          </w:tcPr>
          <w:p w14:paraId="44C7D037" w14:textId="77777777" w:rsidR="00456479" w:rsidRDefault="00267ACA">
            <w:pPr>
              <w:pStyle w:val="normal0"/>
              <w:ind w:left="180" w:right="157"/>
              <w:rPr>
                <w:rFonts w:ascii="Muli" w:eastAsia="Muli" w:hAnsi="Muli" w:cs="Muli"/>
                <w:sz w:val="20"/>
                <w:szCs w:val="20"/>
              </w:rPr>
            </w:pPr>
            <w:r>
              <w:rPr>
                <w:rFonts w:ascii="Muli" w:eastAsia="Muli" w:hAnsi="Muli" w:cs="Muli"/>
                <w:b/>
                <w:sz w:val="20"/>
                <w:szCs w:val="20"/>
              </w:rPr>
              <w:t xml:space="preserve">SW3. Prior Knowledge. </w:t>
            </w:r>
            <w:r>
              <w:rPr>
                <w:rFonts w:ascii="Muli" w:eastAsia="Muli" w:hAnsi="Muli" w:cs="Muli"/>
                <w:sz w:val="20"/>
                <w:szCs w:val="20"/>
              </w:rPr>
              <w:t>Materials leverage students’ prior knowledge and experiences to motivate student learning in ways that:</w:t>
            </w:r>
          </w:p>
          <w:p w14:paraId="408B9516" w14:textId="77777777" w:rsidR="00456479" w:rsidRDefault="00267ACA">
            <w:pPr>
              <w:pStyle w:val="normal0"/>
              <w:numPr>
                <w:ilvl w:val="0"/>
                <w:numId w:val="6"/>
              </w:numPr>
              <w:tabs>
                <w:tab w:val="left" w:pos="474"/>
                <w:tab w:val="left" w:pos="475"/>
              </w:tabs>
              <w:ind w:right="1104"/>
              <w:contextualSpacing/>
              <w:rPr>
                <w:rFonts w:ascii="Muli" w:eastAsia="Muli" w:hAnsi="Muli" w:cs="Muli"/>
                <w:sz w:val="20"/>
                <w:szCs w:val="20"/>
              </w:rPr>
            </w:pPr>
            <w:r>
              <w:rPr>
                <w:rFonts w:ascii="Muli" w:eastAsia="Muli" w:hAnsi="Muli" w:cs="Muli"/>
                <w:sz w:val="20"/>
                <w:szCs w:val="20"/>
              </w:rPr>
              <w:t>make visible students’ prior knowledge and experiences related to the phenomena/problems and relevant SEPs, DCIs, and CCCs;</w:t>
            </w:r>
          </w:p>
          <w:p w14:paraId="45E3554B" w14:textId="77777777" w:rsidR="00456479" w:rsidRDefault="00267ACA">
            <w:pPr>
              <w:pStyle w:val="normal0"/>
              <w:numPr>
                <w:ilvl w:val="0"/>
                <w:numId w:val="6"/>
              </w:numPr>
              <w:tabs>
                <w:tab w:val="left" w:pos="460"/>
                <w:tab w:val="left" w:pos="461"/>
              </w:tabs>
              <w:ind w:right="293"/>
              <w:contextualSpacing/>
              <w:rPr>
                <w:rFonts w:ascii="Muli" w:eastAsia="Muli" w:hAnsi="Muli" w:cs="Muli"/>
                <w:sz w:val="20"/>
                <w:szCs w:val="20"/>
              </w:rPr>
            </w:pPr>
            <w:r>
              <w:rPr>
                <w:rFonts w:ascii="Muli" w:eastAsia="Muli" w:hAnsi="Muli" w:cs="Muli"/>
                <w:sz w:val="20"/>
                <w:szCs w:val="20"/>
              </w:rPr>
              <w:t>revisit students’ early idea</w:t>
            </w:r>
            <w:r>
              <w:rPr>
                <w:rFonts w:ascii="Muli" w:eastAsia="Muli" w:hAnsi="Muli" w:cs="Muli"/>
                <w:sz w:val="20"/>
                <w:szCs w:val="20"/>
              </w:rPr>
              <w:t>s to see how they have changed (or not) as they figure out phenomena/solve problems;</w:t>
            </w:r>
          </w:p>
          <w:p w14:paraId="3D4BF217" w14:textId="77777777" w:rsidR="00456479" w:rsidRDefault="00267ACA">
            <w:pPr>
              <w:pStyle w:val="normal0"/>
              <w:numPr>
                <w:ilvl w:val="0"/>
                <w:numId w:val="6"/>
              </w:numPr>
              <w:tabs>
                <w:tab w:val="left" w:pos="460"/>
                <w:tab w:val="left" w:pos="461"/>
              </w:tabs>
              <w:contextualSpacing/>
              <w:rPr>
                <w:rFonts w:ascii="Muli" w:eastAsia="Muli" w:hAnsi="Muli" w:cs="Muli"/>
                <w:sz w:val="20"/>
                <w:szCs w:val="20"/>
              </w:rPr>
            </w:pPr>
            <w:r>
              <w:rPr>
                <w:rFonts w:ascii="Muli" w:eastAsia="Muli" w:hAnsi="Muli" w:cs="Muli"/>
                <w:sz w:val="20"/>
                <w:szCs w:val="20"/>
              </w:rPr>
              <w:t>make explicit links to new ideas and practices being developed by students.</w:t>
            </w:r>
          </w:p>
        </w:tc>
        <w:tc>
          <w:tcPr>
            <w:tcW w:w="2370" w:type="dxa"/>
          </w:tcPr>
          <w:p w14:paraId="25934003" w14:textId="77777777" w:rsidR="00456479" w:rsidRDefault="00267ACA">
            <w:pPr>
              <w:pStyle w:val="normal0"/>
              <w:ind w:left="180" w:right="261"/>
              <w:rPr>
                <w:rFonts w:ascii="Muli" w:eastAsia="Muli" w:hAnsi="Muli" w:cs="Muli"/>
                <w:sz w:val="20"/>
                <w:szCs w:val="20"/>
              </w:rPr>
            </w:pPr>
            <w:r>
              <w:rPr>
                <w:rFonts w:ascii="Muli" w:eastAsia="Muli" w:hAnsi="Muli" w:cs="Muli"/>
                <w:sz w:val="20"/>
                <w:szCs w:val="20"/>
              </w:rPr>
              <w:t>Materials consistently leverage student prior knowledge and experiences to motivate their learn</w:t>
            </w:r>
            <w:r>
              <w:rPr>
                <w:rFonts w:ascii="Muli" w:eastAsia="Muli" w:hAnsi="Muli" w:cs="Muli"/>
                <w:sz w:val="20"/>
                <w:szCs w:val="20"/>
              </w:rPr>
              <w:t>ing.</w:t>
            </w:r>
          </w:p>
        </w:tc>
        <w:tc>
          <w:tcPr>
            <w:tcW w:w="2370" w:type="dxa"/>
          </w:tcPr>
          <w:p w14:paraId="1D0B7CE6" w14:textId="77777777" w:rsidR="00456479" w:rsidRDefault="00267ACA">
            <w:pPr>
              <w:pStyle w:val="normal0"/>
              <w:ind w:left="180" w:right="260"/>
              <w:rPr>
                <w:rFonts w:ascii="Muli" w:eastAsia="Muli" w:hAnsi="Muli" w:cs="Muli"/>
                <w:sz w:val="20"/>
                <w:szCs w:val="20"/>
              </w:rPr>
            </w:pPr>
            <w:r>
              <w:rPr>
                <w:rFonts w:ascii="Muli" w:eastAsia="Muli" w:hAnsi="Muli" w:cs="Muli"/>
                <w:sz w:val="20"/>
                <w:szCs w:val="20"/>
              </w:rPr>
              <w:t>Materials sometimes leverage student prior knowledge and experiences to motivate their learning.</w:t>
            </w:r>
          </w:p>
        </w:tc>
        <w:tc>
          <w:tcPr>
            <w:tcW w:w="2370" w:type="dxa"/>
          </w:tcPr>
          <w:p w14:paraId="5CC333CF" w14:textId="77777777" w:rsidR="00456479" w:rsidRDefault="00267ACA">
            <w:pPr>
              <w:pStyle w:val="normal0"/>
              <w:ind w:left="180" w:right="164"/>
              <w:rPr>
                <w:rFonts w:ascii="Muli" w:eastAsia="Muli" w:hAnsi="Muli" w:cs="Muli"/>
                <w:sz w:val="20"/>
                <w:szCs w:val="20"/>
              </w:rPr>
            </w:pPr>
            <w:r>
              <w:rPr>
                <w:rFonts w:ascii="Muli" w:eastAsia="Muli" w:hAnsi="Muli" w:cs="Muli"/>
                <w:sz w:val="20"/>
                <w:szCs w:val="20"/>
              </w:rPr>
              <w:t>Materials rarely leverage student prior knowledge and experiences, and when included, they do not relate to the phenomena or problems.</w:t>
            </w:r>
          </w:p>
        </w:tc>
      </w:tr>
      <w:tr w:rsidR="00456479" w14:paraId="56BF23C9" w14:textId="77777777">
        <w:trPr>
          <w:trHeight w:val="2120"/>
        </w:trPr>
        <w:tc>
          <w:tcPr>
            <w:tcW w:w="7230" w:type="dxa"/>
          </w:tcPr>
          <w:p w14:paraId="7BDFE0DA" w14:textId="77777777" w:rsidR="00456479" w:rsidRDefault="00267ACA">
            <w:pPr>
              <w:pStyle w:val="normal0"/>
              <w:spacing w:before="1" w:line="242" w:lineRule="auto"/>
              <w:ind w:left="180"/>
              <w:rPr>
                <w:rFonts w:ascii="Muli" w:eastAsia="Muli" w:hAnsi="Muli" w:cs="Muli"/>
                <w:sz w:val="20"/>
                <w:szCs w:val="20"/>
              </w:rPr>
            </w:pPr>
            <w:r>
              <w:rPr>
                <w:rFonts w:ascii="Muli" w:eastAsia="Muli" w:hAnsi="Muli" w:cs="Muli"/>
                <w:b/>
                <w:sz w:val="20"/>
                <w:szCs w:val="20"/>
              </w:rPr>
              <w:lastRenderedPageBreak/>
              <w:t>SW4. Metacognitive Abilities</w:t>
            </w:r>
            <w:r>
              <w:rPr>
                <w:rFonts w:ascii="Muli" w:eastAsia="Muli" w:hAnsi="Muli" w:cs="Muli"/>
                <w:sz w:val="20"/>
                <w:szCs w:val="20"/>
              </w:rPr>
              <w:t>. Materials include learning experiences for students to:</w:t>
            </w:r>
          </w:p>
          <w:p w14:paraId="56C21609" w14:textId="77777777" w:rsidR="00456479" w:rsidRDefault="00267ACA">
            <w:pPr>
              <w:pStyle w:val="normal0"/>
              <w:numPr>
                <w:ilvl w:val="0"/>
                <w:numId w:val="2"/>
              </w:numPr>
              <w:tabs>
                <w:tab w:val="left" w:pos="474"/>
                <w:tab w:val="left" w:pos="475"/>
              </w:tabs>
              <w:spacing w:line="242" w:lineRule="auto"/>
              <w:contextualSpacing/>
              <w:rPr>
                <w:rFonts w:ascii="Muli" w:eastAsia="Muli" w:hAnsi="Muli" w:cs="Muli"/>
                <w:sz w:val="20"/>
                <w:szCs w:val="20"/>
              </w:rPr>
            </w:pPr>
            <w:r>
              <w:rPr>
                <w:rFonts w:ascii="Muli" w:eastAsia="Muli" w:hAnsi="Muli" w:cs="Muli"/>
                <w:sz w:val="20"/>
                <w:szCs w:val="20"/>
              </w:rPr>
              <w:t>set and monitor their learning in light of the targeted learning goals;</w:t>
            </w:r>
          </w:p>
          <w:p w14:paraId="6ED4476F" w14:textId="77777777" w:rsidR="00456479" w:rsidRDefault="00267ACA">
            <w:pPr>
              <w:pStyle w:val="normal0"/>
              <w:numPr>
                <w:ilvl w:val="0"/>
                <w:numId w:val="2"/>
              </w:numPr>
              <w:tabs>
                <w:tab w:val="left" w:pos="474"/>
                <w:tab w:val="left" w:pos="475"/>
              </w:tabs>
              <w:spacing w:before="1"/>
              <w:ind w:right="1101"/>
              <w:contextualSpacing/>
              <w:rPr>
                <w:rFonts w:ascii="Muli" w:eastAsia="Muli" w:hAnsi="Muli" w:cs="Muli"/>
                <w:sz w:val="20"/>
                <w:szCs w:val="20"/>
              </w:rPr>
            </w:pPr>
            <w:r>
              <w:rPr>
                <w:rFonts w:ascii="Muli" w:eastAsia="Muli" w:hAnsi="Muli" w:cs="Muli"/>
                <w:sz w:val="20"/>
                <w:szCs w:val="20"/>
              </w:rPr>
              <w:t xml:space="preserve">consider, over time, </w:t>
            </w:r>
            <w:r>
              <w:rPr>
                <w:rFonts w:ascii="Muli" w:eastAsia="Muli" w:hAnsi="Muli" w:cs="Muli"/>
                <w:b/>
                <w:sz w:val="20"/>
                <w:szCs w:val="20"/>
              </w:rPr>
              <w:t xml:space="preserve">what </w:t>
            </w:r>
            <w:r>
              <w:rPr>
                <w:rFonts w:ascii="Muli" w:eastAsia="Muli" w:hAnsi="Muli" w:cs="Muli"/>
                <w:sz w:val="20"/>
                <w:szCs w:val="20"/>
              </w:rPr>
              <w:t xml:space="preserve">and </w:t>
            </w:r>
            <w:r>
              <w:rPr>
                <w:rFonts w:ascii="Muli" w:eastAsia="Muli" w:hAnsi="Muli" w:cs="Muli"/>
                <w:b/>
                <w:sz w:val="20"/>
                <w:szCs w:val="20"/>
              </w:rPr>
              <w:t xml:space="preserve">how </w:t>
            </w:r>
            <w:r>
              <w:rPr>
                <w:rFonts w:ascii="Muli" w:eastAsia="Muli" w:hAnsi="Muli" w:cs="Muli"/>
                <w:sz w:val="20"/>
                <w:szCs w:val="20"/>
              </w:rPr>
              <w:t>they have learned across the three dimensions;</w:t>
            </w:r>
          </w:p>
          <w:p w14:paraId="60C56A4E" w14:textId="77777777" w:rsidR="00456479" w:rsidRDefault="00267ACA">
            <w:pPr>
              <w:pStyle w:val="normal0"/>
              <w:numPr>
                <w:ilvl w:val="0"/>
                <w:numId w:val="2"/>
              </w:numPr>
              <w:tabs>
                <w:tab w:val="left" w:pos="474"/>
                <w:tab w:val="left" w:pos="475"/>
              </w:tabs>
              <w:spacing w:before="1" w:line="242" w:lineRule="auto"/>
              <w:contextualSpacing/>
              <w:rPr>
                <w:rFonts w:ascii="Muli" w:eastAsia="Muli" w:hAnsi="Muli" w:cs="Muli"/>
                <w:sz w:val="20"/>
                <w:szCs w:val="20"/>
              </w:rPr>
            </w:pPr>
            <w:r>
              <w:rPr>
                <w:rFonts w:ascii="Muli" w:eastAsia="Muli" w:hAnsi="Muli" w:cs="Muli"/>
                <w:sz w:val="20"/>
                <w:szCs w:val="20"/>
              </w:rPr>
              <w:t>articulate how th</w:t>
            </w:r>
            <w:r>
              <w:rPr>
                <w:rFonts w:ascii="Muli" w:eastAsia="Muli" w:hAnsi="Muli" w:cs="Muli"/>
                <w:sz w:val="20"/>
                <w:szCs w:val="20"/>
              </w:rPr>
              <w:t>e three dimensions helped them figure out phenomena/solve problems.</w:t>
            </w:r>
          </w:p>
        </w:tc>
        <w:tc>
          <w:tcPr>
            <w:tcW w:w="2370" w:type="dxa"/>
          </w:tcPr>
          <w:p w14:paraId="108C0B47" w14:textId="77777777" w:rsidR="00456479" w:rsidRDefault="00267ACA">
            <w:pPr>
              <w:pStyle w:val="normal0"/>
              <w:spacing w:before="1"/>
              <w:ind w:left="180" w:right="280"/>
              <w:rPr>
                <w:rFonts w:ascii="Muli" w:eastAsia="Muli" w:hAnsi="Muli" w:cs="Muli"/>
                <w:sz w:val="20"/>
                <w:szCs w:val="20"/>
              </w:rPr>
            </w:pPr>
            <w:r>
              <w:rPr>
                <w:rFonts w:ascii="Muli" w:eastAsia="Muli" w:hAnsi="Muli" w:cs="Muli"/>
                <w:sz w:val="20"/>
                <w:szCs w:val="20"/>
              </w:rPr>
              <w:t>The materials provide students with regular, explicit opportunities to consider how their learning experiences</w:t>
            </w:r>
          </w:p>
          <w:p w14:paraId="67996D92" w14:textId="77777777" w:rsidR="00456479" w:rsidRDefault="00267ACA">
            <w:pPr>
              <w:pStyle w:val="normal0"/>
              <w:ind w:left="180"/>
              <w:rPr>
                <w:rFonts w:ascii="Muli" w:eastAsia="Muli" w:hAnsi="Muli" w:cs="Muli"/>
                <w:sz w:val="20"/>
                <w:szCs w:val="20"/>
              </w:rPr>
            </w:pPr>
            <w:r>
              <w:rPr>
                <w:rFonts w:ascii="Muli" w:eastAsia="Muli" w:hAnsi="Muli" w:cs="Muli"/>
                <w:sz w:val="20"/>
                <w:szCs w:val="20"/>
              </w:rPr>
              <w:t>changed their thinking.</w:t>
            </w:r>
          </w:p>
        </w:tc>
        <w:tc>
          <w:tcPr>
            <w:tcW w:w="2370" w:type="dxa"/>
          </w:tcPr>
          <w:p w14:paraId="040D5E86" w14:textId="77777777" w:rsidR="00456479" w:rsidRDefault="00267ACA">
            <w:pPr>
              <w:pStyle w:val="normal0"/>
              <w:spacing w:before="1"/>
              <w:ind w:left="180" w:right="166"/>
              <w:rPr>
                <w:rFonts w:ascii="Muli" w:eastAsia="Muli" w:hAnsi="Muli" w:cs="Muli"/>
                <w:sz w:val="20"/>
                <w:szCs w:val="20"/>
              </w:rPr>
            </w:pPr>
            <w:r>
              <w:rPr>
                <w:rFonts w:ascii="Muli" w:eastAsia="Muli" w:hAnsi="Muli" w:cs="Muli"/>
                <w:sz w:val="20"/>
                <w:szCs w:val="20"/>
              </w:rPr>
              <w:t>The materials provide students with some opportunities to consider how their learning experiences changed</w:t>
            </w:r>
          </w:p>
          <w:p w14:paraId="0FEFDE0D" w14:textId="77777777" w:rsidR="00456479" w:rsidRDefault="00267ACA">
            <w:pPr>
              <w:pStyle w:val="normal0"/>
              <w:ind w:left="180"/>
              <w:rPr>
                <w:rFonts w:ascii="Muli" w:eastAsia="Muli" w:hAnsi="Muli" w:cs="Muli"/>
                <w:sz w:val="20"/>
                <w:szCs w:val="20"/>
              </w:rPr>
            </w:pPr>
            <w:r>
              <w:rPr>
                <w:rFonts w:ascii="Muli" w:eastAsia="Muli" w:hAnsi="Muli" w:cs="Muli"/>
                <w:sz w:val="20"/>
                <w:szCs w:val="20"/>
              </w:rPr>
              <w:t>their thinking.</w:t>
            </w:r>
          </w:p>
        </w:tc>
        <w:tc>
          <w:tcPr>
            <w:tcW w:w="2370" w:type="dxa"/>
          </w:tcPr>
          <w:p w14:paraId="00264203" w14:textId="77777777" w:rsidR="00456479" w:rsidRDefault="00267ACA">
            <w:pPr>
              <w:pStyle w:val="normal0"/>
              <w:spacing w:before="1"/>
              <w:ind w:left="180" w:right="93"/>
              <w:rPr>
                <w:rFonts w:ascii="Muli" w:eastAsia="Muli" w:hAnsi="Muli" w:cs="Muli"/>
                <w:sz w:val="20"/>
                <w:szCs w:val="20"/>
              </w:rPr>
            </w:pPr>
            <w:r>
              <w:rPr>
                <w:rFonts w:ascii="Muli" w:eastAsia="Muli" w:hAnsi="Muli" w:cs="Muli"/>
                <w:sz w:val="20"/>
                <w:szCs w:val="20"/>
              </w:rPr>
              <w:t>The materials provide few opportunities for students to consider how their learning experiences changed their thinking.</w:t>
            </w:r>
          </w:p>
        </w:tc>
      </w:tr>
      <w:tr w:rsidR="00456479" w14:paraId="084C4E95" w14:textId="77777777">
        <w:trPr>
          <w:trHeight w:val="2780"/>
        </w:trPr>
        <w:tc>
          <w:tcPr>
            <w:tcW w:w="7230" w:type="dxa"/>
          </w:tcPr>
          <w:p w14:paraId="7DCCC6C9" w14:textId="77777777" w:rsidR="00456479" w:rsidRDefault="00267ACA">
            <w:pPr>
              <w:pStyle w:val="normal0"/>
              <w:spacing w:before="1"/>
              <w:ind w:left="180" w:right="254"/>
              <w:jc w:val="both"/>
              <w:rPr>
                <w:rFonts w:ascii="Muli" w:eastAsia="Muli" w:hAnsi="Muli" w:cs="Muli"/>
                <w:sz w:val="20"/>
                <w:szCs w:val="20"/>
              </w:rPr>
            </w:pPr>
            <w:r>
              <w:rPr>
                <w:rFonts w:ascii="Muli" w:eastAsia="Muli" w:hAnsi="Muli" w:cs="Muli"/>
                <w:b/>
                <w:sz w:val="20"/>
                <w:szCs w:val="20"/>
              </w:rPr>
              <w:t>SW5. Equitabl</w:t>
            </w:r>
            <w:r>
              <w:rPr>
                <w:rFonts w:ascii="Muli" w:eastAsia="Muli" w:hAnsi="Muli" w:cs="Muli"/>
                <w:b/>
                <w:sz w:val="20"/>
                <w:szCs w:val="20"/>
              </w:rPr>
              <w:t xml:space="preserve">e Learning Opportunities. </w:t>
            </w:r>
            <w:r>
              <w:rPr>
                <w:rFonts w:ascii="Muli" w:eastAsia="Muli" w:hAnsi="Muli" w:cs="Muli"/>
                <w:sz w:val="20"/>
                <w:szCs w:val="20"/>
              </w:rPr>
              <w:t xml:space="preserve">Materials ensure that </w:t>
            </w:r>
            <w:r>
              <w:rPr>
                <w:rFonts w:ascii="Muli" w:eastAsia="Muli" w:hAnsi="Muli" w:cs="Muli"/>
                <w:b/>
                <w:i/>
                <w:sz w:val="20"/>
                <w:szCs w:val="20"/>
              </w:rPr>
              <w:t xml:space="preserve">all </w:t>
            </w:r>
            <w:r>
              <w:rPr>
                <w:rFonts w:ascii="Muli" w:eastAsia="Muli" w:hAnsi="Muli" w:cs="Muli"/>
                <w:sz w:val="20"/>
                <w:szCs w:val="20"/>
              </w:rPr>
              <w:t>students, including those from non-dominant groups and with diverse learning needs, have access to the targeted learning goals and experiences, including:</w:t>
            </w:r>
          </w:p>
          <w:p w14:paraId="33F30368" w14:textId="77777777" w:rsidR="00456479" w:rsidRDefault="00267ACA">
            <w:pPr>
              <w:pStyle w:val="normal0"/>
              <w:numPr>
                <w:ilvl w:val="0"/>
                <w:numId w:val="4"/>
              </w:numPr>
              <w:tabs>
                <w:tab w:val="left" w:pos="474"/>
                <w:tab w:val="left" w:pos="475"/>
              </w:tabs>
              <w:ind w:right="120"/>
              <w:contextualSpacing/>
              <w:rPr>
                <w:rFonts w:ascii="Muli" w:eastAsia="Muli" w:hAnsi="Muli" w:cs="Muli"/>
                <w:sz w:val="20"/>
                <w:szCs w:val="20"/>
              </w:rPr>
            </w:pPr>
            <w:r>
              <w:rPr>
                <w:rFonts w:ascii="Muli" w:eastAsia="Muli" w:hAnsi="Muli" w:cs="Muli"/>
                <w:sz w:val="20"/>
                <w:szCs w:val="20"/>
              </w:rPr>
              <w:t>appropriate reading, writing, listening, and/or speaking alternatives for students who are English language learners, have special needs, read below the grade level, or have high interest and have already met the intended learning goals;</w:t>
            </w:r>
          </w:p>
          <w:p w14:paraId="0CD68653" w14:textId="77777777" w:rsidR="00456479" w:rsidRDefault="00267ACA">
            <w:pPr>
              <w:pStyle w:val="normal0"/>
              <w:numPr>
                <w:ilvl w:val="0"/>
                <w:numId w:val="4"/>
              </w:numPr>
              <w:tabs>
                <w:tab w:val="left" w:pos="474"/>
                <w:tab w:val="left" w:pos="475"/>
              </w:tabs>
              <w:spacing w:before="2" w:line="242" w:lineRule="auto"/>
              <w:contextualSpacing/>
              <w:rPr>
                <w:rFonts w:ascii="Muli" w:eastAsia="Muli" w:hAnsi="Muli" w:cs="Muli"/>
                <w:sz w:val="20"/>
                <w:szCs w:val="20"/>
              </w:rPr>
            </w:pPr>
            <w:r>
              <w:rPr>
                <w:rFonts w:ascii="Muli" w:eastAsia="Muli" w:hAnsi="Muli" w:cs="Muli"/>
                <w:sz w:val="20"/>
                <w:szCs w:val="20"/>
              </w:rPr>
              <w:t>culturally-relevant contexts and examples that support all students;</w:t>
            </w:r>
          </w:p>
          <w:p w14:paraId="1CEBD3F4" w14:textId="77777777" w:rsidR="00456479" w:rsidRDefault="00267ACA">
            <w:pPr>
              <w:pStyle w:val="normal0"/>
              <w:numPr>
                <w:ilvl w:val="0"/>
                <w:numId w:val="4"/>
              </w:numPr>
              <w:tabs>
                <w:tab w:val="left" w:pos="474"/>
                <w:tab w:val="left" w:pos="475"/>
              </w:tabs>
              <w:spacing w:line="242" w:lineRule="auto"/>
              <w:contextualSpacing/>
              <w:rPr>
                <w:rFonts w:ascii="Muli" w:eastAsia="Muli" w:hAnsi="Muli" w:cs="Muli"/>
                <w:sz w:val="20"/>
                <w:szCs w:val="20"/>
              </w:rPr>
            </w:pPr>
            <w:r>
              <w:rPr>
                <w:rFonts w:ascii="Muli" w:eastAsia="Muli" w:hAnsi="Muli" w:cs="Muli"/>
                <w:sz w:val="20"/>
                <w:szCs w:val="20"/>
              </w:rPr>
              <w:t>opportunities to cultivate interest and confidence as scientists and engineers for all students.</w:t>
            </w:r>
          </w:p>
        </w:tc>
        <w:tc>
          <w:tcPr>
            <w:tcW w:w="2370" w:type="dxa"/>
          </w:tcPr>
          <w:p w14:paraId="1E2EFB27" w14:textId="77777777" w:rsidR="00456479" w:rsidRDefault="00267ACA">
            <w:pPr>
              <w:pStyle w:val="normal0"/>
              <w:spacing w:before="1"/>
              <w:ind w:left="180" w:right="233"/>
              <w:rPr>
                <w:rFonts w:ascii="Muli" w:eastAsia="Muli" w:hAnsi="Muli" w:cs="Muli"/>
                <w:sz w:val="20"/>
                <w:szCs w:val="20"/>
              </w:rPr>
            </w:pPr>
            <w:r>
              <w:rPr>
                <w:rFonts w:ascii="Muli" w:eastAsia="Muli" w:hAnsi="Muli" w:cs="Muli"/>
                <w:sz w:val="20"/>
                <w:szCs w:val="20"/>
              </w:rPr>
              <w:t>Most learning experiences in materials are designed such that students can engage meaningf</w:t>
            </w:r>
            <w:r>
              <w:rPr>
                <w:rFonts w:ascii="Muli" w:eastAsia="Muli" w:hAnsi="Muli" w:cs="Muli"/>
                <w:sz w:val="20"/>
                <w:szCs w:val="20"/>
              </w:rPr>
              <w:t>ully in a variety of ways, with multiple access points, and with supports for students.</w:t>
            </w:r>
          </w:p>
        </w:tc>
        <w:tc>
          <w:tcPr>
            <w:tcW w:w="2370" w:type="dxa"/>
          </w:tcPr>
          <w:p w14:paraId="0B65D3E6" w14:textId="77777777" w:rsidR="00456479" w:rsidRDefault="00267ACA">
            <w:pPr>
              <w:pStyle w:val="normal0"/>
              <w:spacing w:before="1"/>
              <w:ind w:left="180" w:right="232"/>
              <w:rPr>
                <w:rFonts w:ascii="Muli" w:eastAsia="Muli" w:hAnsi="Muli" w:cs="Muli"/>
                <w:sz w:val="20"/>
                <w:szCs w:val="20"/>
              </w:rPr>
            </w:pPr>
            <w:r>
              <w:rPr>
                <w:rFonts w:ascii="Muli" w:eastAsia="Muli" w:hAnsi="Muli" w:cs="Muli"/>
                <w:sz w:val="20"/>
                <w:szCs w:val="20"/>
              </w:rPr>
              <w:t xml:space="preserve">Some learning experiences in materials are designed such that students can engage meaningfully in a variety of ways, with multiple access points, and with supports for </w:t>
            </w:r>
            <w:r>
              <w:rPr>
                <w:rFonts w:ascii="Muli" w:eastAsia="Muli" w:hAnsi="Muli" w:cs="Muli"/>
                <w:sz w:val="20"/>
                <w:szCs w:val="20"/>
              </w:rPr>
              <w:t>students.</w:t>
            </w:r>
          </w:p>
        </w:tc>
        <w:tc>
          <w:tcPr>
            <w:tcW w:w="2370" w:type="dxa"/>
          </w:tcPr>
          <w:p w14:paraId="5C7ED207" w14:textId="77777777" w:rsidR="00456479" w:rsidRDefault="00267ACA">
            <w:pPr>
              <w:pStyle w:val="normal0"/>
              <w:spacing w:before="1"/>
              <w:ind w:left="180" w:right="170"/>
              <w:rPr>
                <w:rFonts w:ascii="Muli" w:eastAsia="Muli" w:hAnsi="Muli" w:cs="Muli"/>
                <w:sz w:val="20"/>
                <w:szCs w:val="20"/>
              </w:rPr>
            </w:pPr>
            <w:r>
              <w:rPr>
                <w:rFonts w:ascii="Muli" w:eastAsia="Muli" w:hAnsi="Muli" w:cs="Muli"/>
                <w:sz w:val="20"/>
                <w:szCs w:val="20"/>
              </w:rPr>
              <w:t>Few learning experiences in materials are designed such that students can engage meaningfully in a variety of ways, with multiple access points, and with supports for students.</w:t>
            </w:r>
          </w:p>
        </w:tc>
      </w:tr>
    </w:tbl>
    <w:p w14:paraId="726F5D27" w14:textId="77777777" w:rsidR="00456479" w:rsidRDefault="00456479">
      <w:pPr>
        <w:pStyle w:val="normal0"/>
        <w:ind w:left="180"/>
        <w:rPr>
          <w:rFonts w:ascii="Muli" w:eastAsia="Muli" w:hAnsi="Muli" w:cs="Muli"/>
          <w:sz w:val="20"/>
          <w:szCs w:val="20"/>
        </w:rPr>
      </w:pPr>
    </w:p>
    <w:p w14:paraId="355595C2" w14:textId="77777777" w:rsidR="00456479" w:rsidRDefault="00456479">
      <w:pPr>
        <w:pStyle w:val="normal0"/>
        <w:rPr>
          <w:rFonts w:ascii="Muli" w:eastAsia="Muli" w:hAnsi="Muli" w:cs="Muli"/>
          <w:sz w:val="20"/>
          <w:szCs w:val="20"/>
        </w:rPr>
      </w:pPr>
    </w:p>
    <w:p w14:paraId="2F5EFF3B" w14:textId="77777777" w:rsidR="00456479" w:rsidRDefault="00267ACA">
      <w:pPr>
        <w:pStyle w:val="normal0"/>
        <w:pBdr>
          <w:top w:val="nil"/>
          <w:left w:val="nil"/>
          <w:bottom w:val="nil"/>
          <w:right w:val="nil"/>
          <w:between w:val="nil"/>
        </w:pBdr>
        <w:rPr>
          <w:rFonts w:ascii="Muli" w:eastAsia="Muli" w:hAnsi="Muli" w:cs="Muli"/>
          <w:sz w:val="20"/>
          <w:szCs w:val="20"/>
        </w:rPr>
      </w:pPr>
      <w:r>
        <w:br w:type="page"/>
      </w:r>
    </w:p>
    <w:p w14:paraId="6A724669" w14:textId="77777777" w:rsidR="00456479" w:rsidRDefault="00267ACA">
      <w:pPr>
        <w:pStyle w:val="normal0"/>
        <w:spacing w:before="147"/>
        <w:rPr>
          <w:rFonts w:ascii="Muli" w:eastAsia="Muli" w:hAnsi="Muli" w:cs="Muli"/>
          <w:b/>
          <w:color w:val="FF126D"/>
          <w:sz w:val="28"/>
          <w:szCs w:val="28"/>
        </w:rPr>
      </w:pPr>
      <w:r>
        <w:rPr>
          <w:rFonts w:ascii="Muli" w:eastAsia="Muli" w:hAnsi="Muli" w:cs="Muli"/>
          <w:b/>
          <w:color w:val="FF126D"/>
          <w:sz w:val="28"/>
          <w:szCs w:val="28"/>
        </w:rPr>
        <w:lastRenderedPageBreak/>
        <w:t>Designed for NGSS: Student Work</w:t>
      </w:r>
    </w:p>
    <w:p w14:paraId="3D040B07" w14:textId="77777777" w:rsidR="00456479" w:rsidRDefault="00267ACA">
      <w:pPr>
        <w:pStyle w:val="normal0"/>
        <w:spacing w:before="147"/>
        <w:ind w:left="180"/>
        <w:rPr>
          <w:rFonts w:ascii="Muli" w:eastAsia="Muli" w:hAnsi="Muli" w:cs="Muli"/>
          <w:b/>
          <w:sz w:val="20"/>
          <w:szCs w:val="20"/>
        </w:rPr>
      </w:pPr>
      <w:r>
        <w:rPr>
          <w:rFonts w:ascii="Muli" w:eastAsia="Muli" w:hAnsi="Muli" w:cs="Muli"/>
          <w:b/>
          <w:sz w:val="20"/>
          <w:szCs w:val="20"/>
        </w:rPr>
        <w:t>Analyze Evidence</w:t>
      </w:r>
    </w:p>
    <w:p w14:paraId="5F27E00F" w14:textId="77777777" w:rsidR="00456479" w:rsidRDefault="00267ACA">
      <w:pPr>
        <w:pStyle w:val="normal0"/>
        <w:spacing w:before="147"/>
        <w:ind w:left="180"/>
        <w:rPr>
          <w:rFonts w:ascii="Muli" w:eastAsia="Muli" w:hAnsi="Muli" w:cs="Muli"/>
          <w:b/>
          <w:color w:val="15A798"/>
          <w:sz w:val="28"/>
          <w:szCs w:val="28"/>
        </w:rPr>
      </w:pPr>
      <w:r>
        <w:rPr>
          <w:rFonts w:ascii="Muli" w:eastAsia="Muli" w:hAnsi="Muli" w:cs="Muli"/>
          <w:b/>
          <w:sz w:val="20"/>
          <w:szCs w:val="20"/>
        </w:rPr>
        <w:t>Directions:</w:t>
      </w:r>
    </w:p>
    <w:p w14:paraId="17CB9B75" w14:textId="77777777" w:rsidR="00456479" w:rsidRDefault="00267ACA">
      <w:pPr>
        <w:pStyle w:val="normal0"/>
        <w:numPr>
          <w:ilvl w:val="0"/>
          <w:numId w:val="8"/>
        </w:numPr>
        <w:tabs>
          <w:tab w:val="left" w:pos="1127"/>
          <w:tab w:val="left" w:pos="1128"/>
        </w:tabs>
        <w:contextualSpacing/>
        <w:rPr>
          <w:rFonts w:ascii="Muli" w:eastAsia="Muli" w:hAnsi="Muli" w:cs="Muli"/>
          <w:sz w:val="20"/>
          <w:szCs w:val="20"/>
        </w:rPr>
      </w:pPr>
      <w:r>
        <w:rPr>
          <w:rFonts w:ascii="Muli" w:eastAsia="Muli" w:hAnsi="Muli" w:cs="Muli"/>
          <w:sz w:val="20"/>
          <w:szCs w:val="20"/>
        </w:rPr>
        <w:t>Review your assigned materials to describe the path of student thinking.</w:t>
      </w:r>
    </w:p>
    <w:p w14:paraId="7917A294" w14:textId="77777777" w:rsidR="00456479" w:rsidRDefault="00267ACA">
      <w:pPr>
        <w:pStyle w:val="normal0"/>
        <w:numPr>
          <w:ilvl w:val="0"/>
          <w:numId w:val="8"/>
        </w:numPr>
        <w:tabs>
          <w:tab w:val="left" w:pos="1127"/>
          <w:tab w:val="left" w:pos="1128"/>
        </w:tabs>
        <w:contextualSpacing/>
        <w:rPr>
          <w:rFonts w:ascii="Muli" w:eastAsia="Muli" w:hAnsi="Muli" w:cs="Muli"/>
          <w:sz w:val="20"/>
          <w:szCs w:val="20"/>
        </w:rPr>
      </w:pPr>
      <w:r>
        <w:rPr>
          <w:rFonts w:ascii="Muli" w:eastAsia="Muli" w:hAnsi="Muli" w:cs="Muli"/>
          <w:sz w:val="20"/>
          <w:szCs w:val="20"/>
        </w:rPr>
        <w:t>Represent your answers to the questions in the space provided.</w:t>
      </w:r>
    </w:p>
    <w:p w14:paraId="1AC5081F" w14:textId="77777777" w:rsidR="00456479" w:rsidRDefault="00267ACA">
      <w:pPr>
        <w:pStyle w:val="normal0"/>
        <w:numPr>
          <w:ilvl w:val="0"/>
          <w:numId w:val="8"/>
        </w:numPr>
        <w:tabs>
          <w:tab w:val="left" w:pos="1127"/>
          <w:tab w:val="left" w:pos="1128"/>
        </w:tabs>
        <w:contextualSpacing/>
        <w:rPr>
          <w:rFonts w:ascii="Muli" w:eastAsia="Muli" w:hAnsi="Muli" w:cs="Muli"/>
          <w:sz w:val="20"/>
          <w:szCs w:val="20"/>
        </w:rPr>
      </w:pPr>
      <w:r>
        <w:rPr>
          <w:rFonts w:ascii="Muli" w:eastAsia="Muli" w:hAnsi="Muli" w:cs="Muli"/>
          <w:sz w:val="20"/>
          <w:szCs w:val="20"/>
        </w:rPr>
        <w:t>Be prepared to share the path of student thinking visually on a public chart.</w:t>
      </w:r>
    </w:p>
    <w:p w14:paraId="13D54696" w14:textId="77777777" w:rsidR="00456479" w:rsidRDefault="00456479">
      <w:pPr>
        <w:pStyle w:val="normal0"/>
        <w:spacing w:before="11"/>
        <w:ind w:left="180"/>
        <w:rPr>
          <w:rFonts w:ascii="Muli" w:eastAsia="Muli" w:hAnsi="Muli" w:cs="Muli"/>
          <w:sz w:val="20"/>
          <w:szCs w:val="20"/>
        </w:rPr>
      </w:pPr>
    </w:p>
    <w:tbl>
      <w:tblPr>
        <w:tblStyle w:val="a2"/>
        <w:tblW w:w="1410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05"/>
        <w:gridCol w:w="4695"/>
      </w:tblGrid>
      <w:tr w:rsidR="00456479" w14:paraId="70872DBD" w14:textId="77777777">
        <w:trPr>
          <w:trHeight w:val="420"/>
        </w:trPr>
        <w:tc>
          <w:tcPr>
            <w:tcW w:w="14100" w:type="dxa"/>
            <w:gridSpan w:val="2"/>
            <w:shd w:val="clear" w:color="auto" w:fill="FF126D"/>
          </w:tcPr>
          <w:p w14:paraId="78019A3E" w14:textId="77777777" w:rsidR="00456479" w:rsidRDefault="00267ACA">
            <w:pPr>
              <w:pStyle w:val="normal0"/>
              <w:ind w:left="180" w:right="85"/>
              <w:rPr>
                <w:rFonts w:ascii="Muli" w:eastAsia="Muli" w:hAnsi="Muli" w:cs="Muli"/>
                <w:b/>
                <w:color w:val="FFFFFF"/>
                <w:sz w:val="20"/>
                <w:szCs w:val="20"/>
              </w:rPr>
            </w:pPr>
            <w:r>
              <w:rPr>
                <w:rFonts w:ascii="Muli" w:eastAsia="Muli" w:hAnsi="Muli" w:cs="Muli"/>
                <w:b/>
                <w:color w:val="FFFFFF"/>
                <w:sz w:val="20"/>
                <w:szCs w:val="20"/>
              </w:rPr>
              <w:t>Strengths</w:t>
            </w:r>
          </w:p>
        </w:tc>
      </w:tr>
      <w:tr w:rsidR="00456479" w14:paraId="519EB2BA" w14:textId="77777777">
        <w:trPr>
          <w:trHeight w:val="420"/>
        </w:trPr>
        <w:tc>
          <w:tcPr>
            <w:tcW w:w="14100" w:type="dxa"/>
            <w:gridSpan w:val="2"/>
            <w:shd w:val="clear" w:color="auto" w:fill="CCCCCC"/>
          </w:tcPr>
          <w:p w14:paraId="0CF29730" w14:textId="77777777" w:rsidR="00456479" w:rsidRDefault="00267ACA">
            <w:pPr>
              <w:pStyle w:val="normal0"/>
              <w:spacing w:before="130"/>
              <w:ind w:left="180" w:right="2262"/>
              <w:rPr>
                <w:rFonts w:ascii="Muli" w:eastAsia="Muli" w:hAnsi="Muli" w:cs="Muli"/>
                <w:b/>
                <w:sz w:val="20"/>
                <w:szCs w:val="20"/>
              </w:rPr>
            </w:pPr>
            <w:r>
              <w:rPr>
                <w:rFonts w:ascii="Muli" w:eastAsia="Muli" w:hAnsi="Muli" w:cs="Muli"/>
                <w:b/>
                <w:sz w:val="20"/>
                <w:szCs w:val="20"/>
              </w:rPr>
              <w:t>SW 1: Phenomena/ Problems</w:t>
            </w:r>
          </w:p>
        </w:tc>
      </w:tr>
      <w:tr w:rsidR="00456479" w14:paraId="559CA77C" w14:textId="77777777">
        <w:trPr>
          <w:trHeight w:val="620"/>
        </w:trPr>
        <w:tc>
          <w:tcPr>
            <w:tcW w:w="14100" w:type="dxa"/>
            <w:gridSpan w:val="2"/>
            <w:shd w:val="clear" w:color="auto" w:fill="EFEFEF"/>
          </w:tcPr>
          <w:p w14:paraId="503B5C71" w14:textId="77777777" w:rsidR="00456479" w:rsidRDefault="00267ACA">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SW1</w:t>
            </w:r>
          </w:p>
          <w:p w14:paraId="105630D9" w14:textId="77777777" w:rsidR="00456479" w:rsidRDefault="00267ACA">
            <w:pPr>
              <w:pStyle w:val="normal0"/>
              <w:spacing w:before="1"/>
              <w:ind w:left="180" w:right="103"/>
              <w:rPr>
                <w:rFonts w:ascii="Muli" w:eastAsia="Muli" w:hAnsi="Muli" w:cs="Muli"/>
                <w:b/>
                <w:sz w:val="20"/>
                <w:szCs w:val="20"/>
              </w:rPr>
            </w:pPr>
            <w:r>
              <w:rPr>
                <w:rFonts w:ascii="Muli" w:eastAsia="Muli" w:hAnsi="Muli" w:cs="Muli"/>
                <w:sz w:val="20"/>
                <w:szCs w:val="20"/>
              </w:rPr>
              <w:t>Materials consistently offer quality phenomena/ problems sufficient to motivate and drive student learning.</w:t>
            </w:r>
          </w:p>
        </w:tc>
      </w:tr>
      <w:tr w:rsidR="00456479" w14:paraId="59CF9D78" w14:textId="77777777">
        <w:trPr>
          <w:trHeight w:val="1420"/>
        </w:trPr>
        <w:tc>
          <w:tcPr>
            <w:tcW w:w="9405" w:type="dxa"/>
            <w:vMerge w:val="restart"/>
          </w:tcPr>
          <w:p w14:paraId="75D211CA" w14:textId="77777777" w:rsidR="00456479" w:rsidRDefault="00456479">
            <w:pPr>
              <w:pStyle w:val="normal0"/>
              <w:spacing w:before="1"/>
              <w:ind w:left="180" w:right="150"/>
              <w:rPr>
                <w:rFonts w:ascii="Muli" w:eastAsia="Muli" w:hAnsi="Muli" w:cs="Muli"/>
                <w:sz w:val="20"/>
                <w:szCs w:val="20"/>
              </w:rPr>
            </w:pPr>
          </w:p>
          <w:p w14:paraId="1701791B" w14:textId="77777777" w:rsidR="00456479" w:rsidRDefault="00267ACA">
            <w:pPr>
              <w:pStyle w:val="normal0"/>
              <w:ind w:right="150" w:firstLine="180"/>
              <w:rPr>
                <w:rFonts w:ascii="Muli" w:eastAsia="Muli" w:hAnsi="Muli" w:cs="Muli"/>
                <w:sz w:val="20"/>
                <w:szCs w:val="20"/>
                <w:shd w:val="clear" w:color="auto" w:fill="F4CCCC"/>
              </w:rPr>
            </w:pPr>
            <w:r>
              <w:rPr>
                <w:rFonts w:ascii="Muli" w:eastAsia="Muli" w:hAnsi="Muli" w:cs="Muli"/>
                <w:b/>
                <w:color w:val="FF126D"/>
                <w:sz w:val="20"/>
                <w:szCs w:val="20"/>
              </w:rPr>
              <w:t>Evidence</w:t>
            </w:r>
            <w:r>
              <w:rPr>
                <w:rFonts w:ascii="Muli" w:eastAsia="Muli" w:hAnsi="Muli" w:cs="Muli"/>
                <w:b/>
                <w:sz w:val="20"/>
                <w:szCs w:val="20"/>
              </w:rPr>
              <w:t xml:space="preserve"> </w:t>
            </w:r>
          </w:p>
          <w:p w14:paraId="2E8FCB10" w14:textId="77777777" w:rsidR="00456479" w:rsidRDefault="00267ACA">
            <w:pPr>
              <w:pStyle w:val="normal0"/>
              <w:numPr>
                <w:ilvl w:val="0"/>
                <w:numId w:val="15"/>
              </w:numPr>
              <w:ind w:right="150"/>
              <w:contextualSpacing/>
              <w:rPr>
                <w:rFonts w:ascii="Muli" w:eastAsia="Muli" w:hAnsi="Muli" w:cs="Muli"/>
                <w:sz w:val="20"/>
                <w:szCs w:val="20"/>
              </w:rPr>
            </w:pPr>
            <w:r>
              <w:rPr>
                <w:rFonts w:ascii="Muli" w:eastAsia="Muli" w:hAnsi="Muli" w:cs="Muli"/>
                <w:sz w:val="20"/>
                <w:szCs w:val="20"/>
              </w:rPr>
              <w:t>Students investigate the phenomenon of animal behaviors that affect the success of reproduction by observing videos of different courtship rituals and analyzing data (</w:t>
            </w:r>
            <w:r>
              <w:rPr>
                <w:rFonts w:ascii="Muli" w:eastAsia="Muli" w:hAnsi="Muli" w:cs="Muli"/>
                <w:b/>
                <w:color w:val="FF126D"/>
                <w:sz w:val="20"/>
                <w:szCs w:val="20"/>
              </w:rPr>
              <w:t>DQ1L3–4 TE p. 24–39</w:t>
            </w:r>
            <w:r>
              <w:rPr>
                <w:rFonts w:ascii="Muli" w:eastAsia="Muli" w:hAnsi="Muli" w:cs="Muli"/>
                <w:sz w:val="20"/>
                <w:szCs w:val="20"/>
              </w:rPr>
              <w:t>).</w:t>
            </w:r>
          </w:p>
          <w:p w14:paraId="5D6DFEE0" w14:textId="77777777" w:rsidR="00456479" w:rsidRDefault="00267ACA">
            <w:pPr>
              <w:pStyle w:val="normal0"/>
              <w:numPr>
                <w:ilvl w:val="0"/>
                <w:numId w:val="15"/>
              </w:numPr>
              <w:ind w:right="150"/>
              <w:contextualSpacing/>
              <w:rPr>
                <w:rFonts w:ascii="Muli" w:eastAsia="Muli" w:hAnsi="Muli" w:cs="Muli"/>
                <w:sz w:val="20"/>
                <w:szCs w:val="20"/>
              </w:rPr>
            </w:pPr>
            <w:r>
              <w:rPr>
                <w:rFonts w:ascii="Muli" w:eastAsia="Muli" w:hAnsi="Muli" w:cs="Muli"/>
                <w:sz w:val="20"/>
                <w:szCs w:val="20"/>
              </w:rPr>
              <w:t>Students read a text, dissect a flower, and watch a video to unders</w:t>
            </w:r>
            <w:r>
              <w:rPr>
                <w:rFonts w:ascii="Muli" w:eastAsia="Muli" w:hAnsi="Muli" w:cs="Muli"/>
                <w:sz w:val="20"/>
                <w:szCs w:val="20"/>
              </w:rPr>
              <w:t>tand the phenomenon of sexual reproduction in plants (</w:t>
            </w:r>
            <w:r>
              <w:rPr>
                <w:rFonts w:ascii="Muli" w:eastAsia="Muli" w:hAnsi="Muli" w:cs="Muli"/>
                <w:color w:val="0000FF"/>
                <w:sz w:val="20"/>
                <w:szCs w:val="20"/>
              </w:rPr>
              <w:t>DQ2L1 TE pp. 98–103</w:t>
            </w:r>
            <w:r>
              <w:rPr>
                <w:rFonts w:ascii="Muli" w:eastAsia="Muli" w:hAnsi="Muli" w:cs="Muli"/>
                <w:sz w:val="20"/>
                <w:szCs w:val="20"/>
              </w:rPr>
              <w:t>).</w:t>
            </w:r>
          </w:p>
        </w:tc>
        <w:tc>
          <w:tcPr>
            <w:tcW w:w="4695" w:type="dxa"/>
            <w:vMerge w:val="restart"/>
          </w:tcPr>
          <w:p w14:paraId="5FD7BDF3"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C703B32" wp14:editId="289BE4E7">
                  <wp:extent cx="2819400" cy="1676400"/>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r="1661"/>
                          <a:stretch>
                            <a:fillRect/>
                          </a:stretch>
                        </pic:blipFill>
                        <pic:spPr>
                          <a:xfrm>
                            <a:off x="0" y="0"/>
                            <a:ext cx="2819400" cy="1676400"/>
                          </a:xfrm>
                          <a:prstGeom prst="rect">
                            <a:avLst/>
                          </a:prstGeom>
                          <a:ln w="12700">
                            <a:solidFill>
                              <a:srgbClr val="D9D9D9"/>
                            </a:solidFill>
                            <a:prstDash val="solid"/>
                          </a:ln>
                        </pic:spPr>
                      </pic:pic>
                    </a:graphicData>
                  </a:graphic>
                </wp:inline>
              </w:drawing>
            </w:r>
          </w:p>
          <w:p w14:paraId="729F06AA" w14:textId="77777777" w:rsidR="00456479" w:rsidRDefault="00267ACA">
            <w:pPr>
              <w:pStyle w:val="normal0"/>
              <w:ind w:left="90" w:right="150"/>
              <w:rPr>
                <w:rFonts w:ascii="Muli" w:eastAsia="Muli" w:hAnsi="Muli" w:cs="Muli"/>
                <w:sz w:val="20"/>
                <w:szCs w:val="20"/>
              </w:rPr>
            </w:pPr>
            <w:r>
              <w:rPr>
                <w:rFonts w:ascii="Muli" w:eastAsia="Muli" w:hAnsi="Muli" w:cs="Muli"/>
                <w:b/>
                <w:color w:val="FF126D"/>
                <w:sz w:val="20"/>
                <w:szCs w:val="20"/>
              </w:rPr>
              <w:t>DQ1L3–4 TE p. 24–39</w:t>
            </w:r>
          </w:p>
        </w:tc>
      </w:tr>
      <w:tr w:rsidR="00456479" w14:paraId="6AC040E8" w14:textId="77777777">
        <w:trPr>
          <w:trHeight w:val="1860"/>
        </w:trPr>
        <w:tc>
          <w:tcPr>
            <w:tcW w:w="9405" w:type="dxa"/>
            <w:vMerge/>
          </w:tcPr>
          <w:p w14:paraId="0CD8EC39" w14:textId="77777777" w:rsidR="00456479" w:rsidRDefault="00456479">
            <w:pPr>
              <w:pStyle w:val="normal0"/>
              <w:ind w:right="150"/>
              <w:rPr>
                <w:rFonts w:ascii="Muli" w:eastAsia="Muli" w:hAnsi="Muli" w:cs="Muli"/>
                <w:sz w:val="20"/>
                <w:szCs w:val="20"/>
              </w:rPr>
            </w:pPr>
          </w:p>
        </w:tc>
        <w:tc>
          <w:tcPr>
            <w:tcW w:w="4695" w:type="dxa"/>
            <w:vMerge/>
          </w:tcPr>
          <w:p w14:paraId="78EB0232" w14:textId="77777777" w:rsidR="00456479" w:rsidRDefault="00456479">
            <w:pPr>
              <w:pStyle w:val="normal0"/>
              <w:rPr>
                <w:rFonts w:ascii="Muli" w:eastAsia="Muli" w:hAnsi="Muli" w:cs="Muli"/>
                <w:sz w:val="20"/>
                <w:szCs w:val="20"/>
              </w:rPr>
            </w:pPr>
          </w:p>
        </w:tc>
      </w:tr>
      <w:tr w:rsidR="00456479" w14:paraId="12299082" w14:textId="77777777">
        <w:trPr>
          <w:trHeight w:val="4920"/>
        </w:trPr>
        <w:tc>
          <w:tcPr>
            <w:tcW w:w="9405" w:type="dxa"/>
          </w:tcPr>
          <w:p w14:paraId="6C86F126" w14:textId="77777777" w:rsidR="00456479" w:rsidRDefault="00267ACA">
            <w:pPr>
              <w:pStyle w:val="normal0"/>
              <w:numPr>
                <w:ilvl w:val="0"/>
                <w:numId w:val="15"/>
              </w:numPr>
              <w:ind w:right="150"/>
              <w:contextualSpacing/>
              <w:rPr>
                <w:rFonts w:ascii="Muli" w:eastAsia="Muli" w:hAnsi="Muli" w:cs="Muli"/>
                <w:sz w:val="20"/>
                <w:szCs w:val="20"/>
              </w:rPr>
            </w:pPr>
            <w:r>
              <w:rPr>
                <w:rFonts w:ascii="Muli" w:eastAsia="Muli" w:hAnsi="Muli" w:cs="Muli"/>
                <w:sz w:val="20"/>
                <w:szCs w:val="20"/>
              </w:rPr>
              <w:lastRenderedPageBreak/>
              <w:t>The class use their knowledge of genetics to answer part of the Module Phenomenon (</w:t>
            </w:r>
            <w:r>
              <w:rPr>
                <w:rFonts w:ascii="Muli" w:eastAsia="Muli" w:hAnsi="Muli" w:cs="Muli"/>
                <w:b/>
                <w:color w:val="FF126D"/>
                <w:sz w:val="20"/>
                <w:szCs w:val="20"/>
              </w:rPr>
              <w:t>DQ2L3 TE p. 119</w:t>
            </w:r>
            <w:r>
              <w:rPr>
                <w:rFonts w:ascii="Muli" w:eastAsia="Muli" w:hAnsi="Muli" w:cs="Muli"/>
                <w:sz w:val="20"/>
                <w:szCs w:val="20"/>
              </w:rPr>
              <w:t xml:space="preserve">, </w:t>
            </w:r>
            <w:r>
              <w:rPr>
                <w:rFonts w:ascii="Muli" w:eastAsia="Muli" w:hAnsi="Muli" w:cs="Muli"/>
                <w:b/>
                <w:color w:val="FF126D"/>
                <w:sz w:val="20"/>
                <w:szCs w:val="20"/>
              </w:rPr>
              <w:t>DQ2L4 TE p. 128</w:t>
            </w:r>
            <w:r>
              <w:rPr>
                <w:rFonts w:ascii="Muli" w:eastAsia="Muli" w:hAnsi="Muli" w:cs="Muli"/>
                <w:sz w:val="20"/>
                <w:szCs w:val="20"/>
              </w:rPr>
              <w:t>).</w:t>
            </w:r>
          </w:p>
        </w:tc>
        <w:tc>
          <w:tcPr>
            <w:tcW w:w="4695" w:type="dxa"/>
          </w:tcPr>
          <w:p w14:paraId="0FDE3C17"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FA92F95" wp14:editId="189353C7">
                  <wp:extent cx="2774907" cy="728663"/>
                  <wp:effectExtent l="12700" t="12700" r="12700" b="127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74907" cy="728663"/>
                          </a:xfrm>
                          <a:prstGeom prst="rect">
                            <a:avLst/>
                          </a:prstGeom>
                          <a:ln w="12700">
                            <a:solidFill>
                              <a:srgbClr val="CCCCCC"/>
                            </a:solidFill>
                            <a:prstDash val="solid"/>
                          </a:ln>
                        </pic:spPr>
                      </pic:pic>
                    </a:graphicData>
                  </a:graphic>
                </wp:inline>
              </w:drawing>
            </w:r>
          </w:p>
          <w:p w14:paraId="5BB3E671" w14:textId="77777777" w:rsidR="00456479" w:rsidRDefault="00267ACA">
            <w:pPr>
              <w:pStyle w:val="normal0"/>
              <w:ind w:left="90" w:right="150"/>
              <w:rPr>
                <w:rFonts w:ascii="Muli" w:eastAsia="Muli" w:hAnsi="Muli" w:cs="Muli"/>
                <w:b/>
                <w:color w:val="FF126D"/>
                <w:sz w:val="20"/>
                <w:szCs w:val="20"/>
              </w:rPr>
            </w:pPr>
            <w:r>
              <w:rPr>
                <w:rFonts w:ascii="Muli" w:eastAsia="Muli" w:hAnsi="Muli" w:cs="Muli"/>
                <w:b/>
                <w:color w:val="FF126D"/>
                <w:sz w:val="20"/>
                <w:szCs w:val="20"/>
              </w:rPr>
              <w:t>DQ2L3 TE p. 119</w:t>
            </w:r>
          </w:p>
          <w:p w14:paraId="1F9C5DB6" w14:textId="77777777" w:rsidR="00456479" w:rsidRDefault="00456479">
            <w:pPr>
              <w:pStyle w:val="normal0"/>
              <w:ind w:left="90" w:right="150"/>
              <w:rPr>
                <w:rFonts w:ascii="Muli" w:eastAsia="Muli" w:hAnsi="Muli" w:cs="Muli"/>
                <w:b/>
                <w:color w:val="FF126D"/>
                <w:sz w:val="20"/>
                <w:szCs w:val="20"/>
              </w:rPr>
            </w:pPr>
          </w:p>
          <w:p w14:paraId="4CC3CEBB" w14:textId="77777777" w:rsidR="00456479" w:rsidRDefault="00267ACA">
            <w:pPr>
              <w:pStyle w:val="normal0"/>
              <w:ind w:left="90" w:right="15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701BB74" wp14:editId="488139E4">
                  <wp:extent cx="2776538" cy="1664143"/>
                  <wp:effectExtent l="12700" t="12700" r="12700" b="12700"/>
                  <wp:docPr id="5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3"/>
                          <a:srcRect/>
                          <a:stretch>
                            <a:fillRect/>
                          </a:stretch>
                        </pic:blipFill>
                        <pic:spPr>
                          <a:xfrm>
                            <a:off x="0" y="0"/>
                            <a:ext cx="2776538" cy="1664143"/>
                          </a:xfrm>
                          <a:prstGeom prst="rect">
                            <a:avLst/>
                          </a:prstGeom>
                          <a:ln w="12700">
                            <a:solidFill>
                              <a:srgbClr val="CCCCCC"/>
                            </a:solidFill>
                            <a:prstDash val="solid"/>
                          </a:ln>
                        </pic:spPr>
                      </pic:pic>
                    </a:graphicData>
                  </a:graphic>
                </wp:inline>
              </w:drawing>
            </w:r>
          </w:p>
          <w:p w14:paraId="0EDEBDF1" w14:textId="77777777" w:rsidR="00456479" w:rsidRDefault="00267ACA">
            <w:pPr>
              <w:pStyle w:val="normal0"/>
              <w:ind w:left="90" w:right="150"/>
              <w:rPr>
                <w:rFonts w:ascii="Muli" w:eastAsia="Muli" w:hAnsi="Muli" w:cs="Muli"/>
                <w:b/>
                <w:color w:val="FF126D"/>
                <w:sz w:val="20"/>
                <w:szCs w:val="20"/>
              </w:rPr>
            </w:pPr>
            <w:r>
              <w:rPr>
                <w:rFonts w:ascii="Muli" w:eastAsia="Muli" w:hAnsi="Muli" w:cs="Muli"/>
                <w:b/>
                <w:color w:val="FF126D"/>
                <w:sz w:val="20"/>
                <w:szCs w:val="20"/>
              </w:rPr>
              <w:t>DQ2L4 TE p. 128</w:t>
            </w:r>
          </w:p>
        </w:tc>
      </w:tr>
      <w:tr w:rsidR="00456479" w14:paraId="5AF9D144" w14:textId="77777777">
        <w:trPr>
          <w:trHeight w:val="660"/>
        </w:trPr>
        <w:tc>
          <w:tcPr>
            <w:tcW w:w="9405" w:type="dxa"/>
            <w:vMerge w:val="restart"/>
          </w:tcPr>
          <w:p w14:paraId="5F99896A" w14:textId="77777777" w:rsidR="00456479" w:rsidRDefault="00456479">
            <w:pPr>
              <w:pStyle w:val="normal0"/>
              <w:ind w:right="150"/>
              <w:rPr>
                <w:rFonts w:ascii="Muli" w:eastAsia="Muli" w:hAnsi="Muli" w:cs="Muli"/>
                <w:sz w:val="20"/>
                <w:szCs w:val="20"/>
              </w:rPr>
            </w:pPr>
          </w:p>
          <w:p w14:paraId="20399E92" w14:textId="77777777" w:rsidR="00456479" w:rsidRDefault="00267ACA">
            <w:pPr>
              <w:pStyle w:val="normal0"/>
              <w:numPr>
                <w:ilvl w:val="0"/>
                <w:numId w:val="15"/>
              </w:numPr>
              <w:ind w:right="150"/>
              <w:contextualSpacing/>
              <w:rPr>
                <w:rFonts w:ascii="Muli" w:eastAsia="Muli" w:hAnsi="Muli" w:cs="Muli"/>
                <w:sz w:val="20"/>
                <w:szCs w:val="20"/>
              </w:rPr>
            </w:pPr>
            <w:r>
              <w:rPr>
                <w:rFonts w:ascii="Muli" w:eastAsia="Muli" w:hAnsi="Muli" w:cs="Muli"/>
                <w:sz w:val="20"/>
                <w:szCs w:val="20"/>
              </w:rPr>
              <w:t xml:space="preserve">Students use videos and visuals to learn about the phenomenon of asexual reproduction, linking this to the Driving Question </w:t>
            </w:r>
            <w:r>
              <w:rPr>
                <w:rFonts w:ascii="Muli" w:eastAsia="Muli" w:hAnsi="Muli" w:cs="Muli"/>
                <w:b/>
                <w:color w:val="FF126D"/>
                <w:sz w:val="20"/>
                <w:szCs w:val="20"/>
              </w:rPr>
              <w:t>(DQ2L9 TE pp. 164–169)</w:t>
            </w:r>
            <w:r>
              <w:rPr>
                <w:rFonts w:ascii="Muli" w:eastAsia="Muli" w:hAnsi="Muli" w:cs="Muli"/>
                <w:sz w:val="20"/>
                <w:szCs w:val="20"/>
              </w:rPr>
              <w:t>.</w:t>
            </w:r>
          </w:p>
          <w:p w14:paraId="5D851291" w14:textId="77777777" w:rsidR="00456479" w:rsidRDefault="00456479">
            <w:pPr>
              <w:pStyle w:val="normal0"/>
              <w:ind w:right="150"/>
              <w:rPr>
                <w:rFonts w:ascii="Muli" w:eastAsia="Muli" w:hAnsi="Muli" w:cs="Muli"/>
                <w:sz w:val="20"/>
                <w:szCs w:val="20"/>
              </w:rPr>
            </w:pPr>
          </w:p>
        </w:tc>
        <w:tc>
          <w:tcPr>
            <w:tcW w:w="4695" w:type="dxa"/>
            <w:vMerge w:val="restart"/>
          </w:tcPr>
          <w:p w14:paraId="5526221C" w14:textId="77777777" w:rsidR="00456479" w:rsidRDefault="00267ACA">
            <w:pPr>
              <w:pStyle w:val="normal0"/>
              <w:ind w:right="150"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096B71F" wp14:editId="50FBEB30">
                  <wp:extent cx="2824163" cy="2643126"/>
                  <wp:effectExtent l="12700" t="12700" r="12700" b="127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824163" cy="2643126"/>
                          </a:xfrm>
                          <a:prstGeom prst="rect">
                            <a:avLst/>
                          </a:prstGeom>
                          <a:ln w="12700">
                            <a:solidFill>
                              <a:srgbClr val="CCCCCC"/>
                            </a:solidFill>
                            <a:prstDash val="solid"/>
                          </a:ln>
                        </pic:spPr>
                      </pic:pic>
                    </a:graphicData>
                  </a:graphic>
                </wp:inline>
              </w:drawing>
            </w:r>
          </w:p>
          <w:p w14:paraId="32F7796B" w14:textId="77777777" w:rsidR="00456479" w:rsidRDefault="00267ACA">
            <w:pPr>
              <w:pStyle w:val="normal0"/>
              <w:ind w:right="150" w:firstLine="90"/>
              <w:rPr>
                <w:rFonts w:ascii="Muli" w:eastAsia="Muli" w:hAnsi="Muli" w:cs="Muli"/>
                <w:b/>
                <w:color w:val="FF126D"/>
                <w:sz w:val="20"/>
                <w:szCs w:val="20"/>
              </w:rPr>
            </w:pPr>
            <w:r>
              <w:rPr>
                <w:rFonts w:ascii="Muli" w:eastAsia="Muli" w:hAnsi="Muli" w:cs="Muli"/>
                <w:b/>
                <w:color w:val="FF126D"/>
                <w:sz w:val="20"/>
                <w:szCs w:val="20"/>
              </w:rPr>
              <w:t>DQ2L9 TE pp. 164–169</w:t>
            </w:r>
          </w:p>
        </w:tc>
      </w:tr>
      <w:tr w:rsidR="00456479" w14:paraId="04F3B0B9" w14:textId="77777777">
        <w:trPr>
          <w:trHeight w:val="660"/>
        </w:trPr>
        <w:tc>
          <w:tcPr>
            <w:tcW w:w="9405" w:type="dxa"/>
            <w:vMerge/>
          </w:tcPr>
          <w:p w14:paraId="3CDDFDE9" w14:textId="77777777" w:rsidR="00456479" w:rsidRDefault="00456479">
            <w:pPr>
              <w:pStyle w:val="normal0"/>
              <w:ind w:right="150"/>
              <w:rPr>
                <w:rFonts w:ascii="Muli" w:eastAsia="Muli" w:hAnsi="Muli" w:cs="Muli"/>
                <w:sz w:val="20"/>
                <w:szCs w:val="20"/>
              </w:rPr>
            </w:pPr>
          </w:p>
        </w:tc>
        <w:tc>
          <w:tcPr>
            <w:tcW w:w="4695" w:type="dxa"/>
            <w:vMerge/>
          </w:tcPr>
          <w:p w14:paraId="2B62B62D" w14:textId="77777777" w:rsidR="00456479" w:rsidRDefault="00456479">
            <w:pPr>
              <w:pStyle w:val="normal0"/>
              <w:rPr>
                <w:rFonts w:ascii="Muli" w:eastAsia="Muli" w:hAnsi="Muli" w:cs="Muli"/>
                <w:sz w:val="20"/>
                <w:szCs w:val="20"/>
              </w:rPr>
            </w:pPr>
          </w:p>
        </w:tc>
      </w:tr>
      <w:tr w:rsidR="00456479" w14:paraId="4E126BBC" w14:textId="77777777">
        <w:trPr>
          <w:trHeight w:val="660"/>
        </w:trPr>
        <w:tc>
          <w:tcPr>
            <w:tcW w:w="9405" w:type="dxa"/>
            <w:vMerge/>
          </w:tcPr>
          <w:p w14:paraId="13CF4A8E" w14:textId="77777777" w:rsidR="00456479" w:rsidRDefault="00456479">
            <w:pPr>
              <w:pStyle w:val="normal0"/>
              <w:ind w:right="150"/>
              <w:rPr>
                <w:rFonts w:ascii="Muli" w:eastAsia="Muli" w:hAnsi="Muli" w:cs="Muli"/>
                <w:sz w:val="20"/>
                <w:szCs w:val="20"/>
              </w:rPr>
            </w:pPr>
          </w:p>
        </w:tc>
        <w:tc>
          <w:tcPr>
            <w:tcW w:w="4695" w:type="dxa"/>
            <w:vMerge/>
          </w:tcPr>
          <w:p w14:paraId="126BD68C" w14:textId="77777777" w:rsidR="00456479" w:rsidRDefault="00456479">
            <w:pPr>
              <w:pStyle w:val="normal0"/>
              <w:rPr>
                <w:rFonts w:ascii="Muli" w:eastAsia="Muli" w:hAnsi="Muli" w:cs="Muli"/>
                <w:sz w:val="20"/>
                <w:szCs w:val="20"/>
              </w:rPr>
            </w:pPr>
          </w:p>
        </w:tc>
      </w:tr>
      <w:tr w:rsidR="00456479" w14:paraId="57AE9FF5" w14:textId="77777777">
        <w:trPr>
          <w:trHeight w:val="4540"/>
        </w:trPr>
        <w:tc>
          <w:tcPr>
            <w:tcW w:w="9405" w:type="dxa"/>
          </w:tcPr>
          <w:p w14:paraId="33BBF1F3" w14:textId="77777777" w:rsidR="00456479" w:rsidRDefault="00267ACA">
            <w:pPr>
              <w:pStyle w:val="normal0"/>
              <w:numPr>
                <w:ilvl w:val="0"/>
                <w:numId w:val="15"/>
              </w:numPr>
              <w:ind w:right="150"/>
              <w:contextualSpacing/>
              <w:rPr>
                <w:rFonts w:ascii="Muli" w:eastAsia="Muli" w:hAnsi="Muli" w:cs="Muli"/>
                <w:sz w:val="20"/>
                <w:szCs w:val="20"/>
              </w:rPr>
            </w:pPr>
            <w:r>
              <w:rPr>
                <w:rFonts w:ascii="Muli" w:eastAsia="Muli" w:hAnsi="Muli" w:cs="Muli"/>
                <w:sz w:val="20"/>
                <w:szCs w:val="20"/>
              </w:rPr>
              <w:lastRenderedPageBreak/>
              <w:t xml:space="preserve">Students consider the phenomenon of environmental factors affecting the growth of an organism, analyzing a study about Atlantic salmon </w:t>
            </w:r>
            <w:r>
              <w:rPr>
                <w:rFonts w:ascii="Muli" w:eastAsia="Muli" w:hAnsi="Muli" w:cs="Muli"/>
                <w:b/>
                <w:color w:val="FF126D"/>
                <w:sz w:val="20"/>
                <w:szCs w:val="20"/>
              </w:rPr>
              <w:t>(DQ3L1 Investigate TE p. 193)</w:t>
            </w:r>
            <w:r>
              <w:rPr>
                <w:rFonts w:ascii="Muli" w:eastAsia="Muli" w:hAnsi="Muli" w:cs="Muli"/>
                <w:sz w:val="20"/>
                <w:szCs w:val="20"/>
              </w:rPr>
              <w:t>.</w:t>
            </w:r>
          </w:p>
        </w:tc>
        <w:tc>
          <w:tcPr>
            <w:tcW w:w="4695" w:type="dxa"/>
          </w:tcPr>
          <w:p w14:paraId="4C3DCB46" w14:textId="77777777" w:rsidR="00456479" w:rsidRDefault="00267ACA">
            <w:pPr>
              <w:pStyle w:val="normal0"/>
              <w:ind w:right="150"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B7A82DA" wp14:editId="55FACD0C">
                  <wp:extent cx="2195513" cy="251811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r="8012" b="6534"/>
                          <a:stretch>
                            <a:fillRect/>
                          </a:stretch>
                        </pic:blipFill>
                        <pic:spPr>
                          <a:xfrm>
                            <a:off x="0" y="0"/>
                            <a:ext cx="2195513" cy="2518118"/>
                          </a:xfrm>
                          <a:prstGeom prst="rect">
                            <a:avLst/>
                          </a:prstGeom>
                          <a:ln/>
                        </pic:spPr>
                      </pic:pic>
                    </a:graphicData>
                  </a:graphic>
                </wp:inline>
              </w:drawing>
            </w:r>
          </w:p>
          <w:p w14:paraId="79AC07A8" w14:textId="77777777" w:rsidR="00456479" w:rsidRDefault="00267ACA">
            <w:pPr>
              <w:pStyle w:val="normal0"/>
              <w:ind w:right="150" w:firstLine="90"/>
              <w:rPr>
                <w:rFonts w:ascii="Muli" w:eastAsia="Muli" w:hAnsi="Muli" w:cs="Muli"/>
                <w:b/>
                <w:color w:val="FF126D"/>
                <w:sz w:val="20"/>
                <w:szCs w:val="20"/>
              </w:rPr>
            </w:pPr>
            <w:r>
              <w:rPr>
                <w:rFonts w:ascii="Muli" w:eastAsia="Muli" w:hAnsi="Muli" w:cs="Muli"/>
                <w:b/>
                <w:color w:val="FF126D"/>
                <w:sz w:val="20"/>
                <w:szCs w:val="20"/>
              </w:rPr>
              <w:t>DQ3L1 Investigate TE p. 193</w:t>
            </w:r>
          </w:p>
        </w:tc>
      </w:tr>
      <w:tr w:rsidR="00456479" w14:paraId="67549854" w14:textId="77777777">
        <w:trPr>
          <w:trHeight w:val="5400"/>
        </w:trPr>
        <w:tc>
          <w:tcPr>
            <w:tcW w:w="9405" w:type="dxa"/>
          </w:tcPr>
          <w:p w14:paraId="613B5172" w14:textId="77777777" w:rsidR="00456479" w:rsidRDefault="00267ACA">
            <w:pPr>
              <w:pStyle w:val="normal0"/>
              <w:numPr>
                <w:ilvl w:val="0"/>
                <w:numId w:val="15"/>
              </w:numPr>
              <w:ind w:right="150"/>
              <w:contextualSpacing/>
              <w:rPr>
                <w:rFonts w:ascii="Muli" w:eastAsia="Muli" w:hAnsi="Muli" w:cs="Muli"/>
                <w:sz w:val="20"/>
                <w:szCs w:val="20"/>
              </w:rPr>
            </w:pPr>
            <w:r>
              <w:rPr>
                <w:rFonts w:ascii="Muli" w:eastAsia="Muli" w:hAnsi="Muli" w:cs="Muli"/>
                <w:sz w:val="20"/>
                <w:szCs w:val="20"/>
              </w:rPr>
              <w:t>Students devise solutions to the problem of protecting endangered species, using their learning from the module (</w:t>
            </w:r>
            <w:r>
              <w:rPr>
                <w:rFonts w:ascii="Muli" w:eastAsia="Muli" w:hAnsi="Muli" w:cs="Muli"/>
                <w:b/>
                <w:color w:val="FF126D"/>
                <w:sz w:val="20"/>
                <w:szCs w:val="20"/>
              </w:rPr>
              <w:t>DQ4L3 TE p. 270</w:t>
            </w:r>
            <w:r>
              <w:rPr>
                <w:rFonts w:ascii="Muli" w:eastAsia="Muli" w:hAnsi="Muli" w:cs="Muli"/>
                <w:sz w:val="20"/>
                <w:szCs w:val="20"/>
              </w:rPr>
              <w:t>).</w:t>
            </w:r>
          </w:p>
        </w:tc>
        <w:tc>
          <w:tcPr>
            <w:tcW w:w="4695" w:type="dxa"/>
          </w:tcPr>
          <w:p w14:paraId="3BB05B48"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19915E9" wp14:editId="38EA493D">
                  <wp:extent cx="2509838" cy="3046423"/>
                  <wp:effectExtent l="12700" t="12700" r="12700" b="12700"/>
                  <wp:docPr id="4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4"/>
                          <a:srcRect/>
                          <a:stretch>
                            <a:fillRect/>
                          </a:stretch>
                        </pic:blipFill>
                        <pic:spPr>
                          <a:xfrm>
                            <a:off x="0" y="0"/>
                            <a:ext cx="2509838" cy="3046423"/>
                          </a:xfrm>
                          <a:prstGeom prst="rect">
                            <a:avLst/>
                          </a:prstGeom>
                          <a:ln w="12700">
                            <a:solidFill>
                              <a:srgbClr val="D9D9D9"/>
                            </a:solidFill>
                            <a:prstDash val="solid"/>
                          </a:ln>
                        </pic:spPr>
                      </pic:pic>
                    </a:graphicData>
                  </a:graphic>
                </wp:inline>
              </w:drawing>
            </w:r>
          </w:p>
          <w:p w14:paraId="77AA9CF7" w14:textId="77777777" w:rsidR="00456479" w:rsidRDefault="00267ACA">
            <w:pPr>
              <w:pStyle w:val="normal0"/>
              <w:ind w:left="90" w:right="150"/>
              <w:rPr>
                <w:rFonts w:ascii="Muli" w:eastAsia="Muli" w:hAnsi="Muli" w:cs="Muli"/>
                <w:sz w:val="20"/>
                <w:szCs w:val="20"/>
              </w:rPr>
            </w:pPr>
            <w:r>
              <w:rPr>
                <w:rFonts w:ascii="Muli" w:eastAsia="Muli" w:hAnsi="Muli" w:cs="Muli"/>
                <w:b/>
                <w:color w:val="FF126D"/>
                <w:sz w:val="20"/>
                <w:szCs w:val="20"/>
              </w:rPr>
              <w:t>DQ4L3 TE p. 270</w:t>
            </w:r>
          </w:p>
        </w:tc>
      </w:tr>
      <w:tr w:rsidR="00456479" w14:paraId="3AE2D6F8" w14:textId="77777777">
        <w:trPr>
          <w:trHeight w:val="380"/>
        </w:trPr>
        <w:tc>
          <w:tcPr>
            <w:tcW w:w="14100" w:type="dxa"/>
            <w:gridSpan w:val="2"/>
            <w:shd w:val="clear" w:color="auto" w:fill="CCCCCC"/>
          </w:tcPr>
          <w:p w14:paraId="3364BE3C" w14:textId="77777777" w:rsidR="00456479" w:rsidRDefault="00267ACA">
            <w:pPr>
              <w:pStyle w:val="normal0"/>
              <w:spacing w:before="1"/>
              <w:ind w:left="180" w:right="545"/>
              <w:rPr>
                <w:rFonts w:ascii="Muli" w:eastAsia="Muli" w:hAnsi="Muli" w:cs="Muli"/>
                <w:b/>
                <w:sz w:val="20"/>
                <w:szCs w:val="20"/>
              </w:rPr>
            </w:pPr>
            <w:r>
              <w:rPr>
                <w:rFonts w:ascii="Muli" w:eastAsia="Muli" w:hAnsi="Muli" w:cs="Muli"/>
                <w:b/>
                <w:color w:val="1C1C1C"/>
                <w:sz w:val="20"/>
                <w:szCs w:val="20"/>
              </w:rPr>
              <w:t>SW 2: Three-Dimensional Conceptual Framework</w:t>
            </w:r>
          </w:p>
        </w:tc>
      </w:tr>
      <w:tr w:rsidR="00456479" w14:paraId="659405BC" w14:textId="77777777">
        <w:trPr>
          <w:trHeight w:val="820"/>
        </w:trPr>
        <w:tc>
          <w:tcPr>
            <w:tcW w:w="14100" w:type="dxa"/>
            <w:gridSpan w:val="2"/>
            <w:shd w:val="clear" w:color="auto" w:fill="EFEFEF"/>
          </w:tcPr>
          <w:p w14:paraId="2B5DB366" w14:textId="77777777" w:rsidR="00456479" w:rsidRDefault="00267ACA">
            <w:pPr>
              <w:pStyle w:val="normal0"/>
              <w:ind w:left="180"/>
              <w:rPr>
                <w:rFonts w:ascii="Muli" w:eastAsia="Muli" w:hAnsi="Muli" w:cs="Muli"/>
                <w:b/>
                <w:color w:val="2F5496"/>
                <w:sz w:val="20"/>
                <w:szCs w:val="20"/>
              </w:rPr>
            </w:pPr>
            <w:r>
              <w:rPr>
                <w:rFonts w:ascii="Muli" w:eastAsia="Muli" w:hAnsi="Muli" w:cs="Muli"/>
                <w:b/>
                <w:color w:val="2F5496"/>
                <w:sz w:val="20"/>
                <w:szCs w:val="20"/>
              </w:rPr>
              <w:lastRenderedPageBreak/>
              <w:t>The Student Work is High Quality (5) in terms of SW2</w:t>
            </w:r>
          </w:p>
          <w:p w14:paraId="44B81896" w14:textId="77777777" w:rsidR="00456479" w:rsidRDefault="00267ACA">
            <w:pPr>
              <w:pStyle w:val="normal0"/>
              <w:spacing w:before="1"/>
              <w:ind w:left="180" w:right="188"/>
              <w:rPr>
                <w:rFonts w:ascii="Muli" w:eastAsia="Muli" w:hAnsi="Muli" w:cs="Muli"/>
                <w:b/>
                <w:sz w:val="20"/>
                <w:szCs w:val="20"/>
              </w:rPr>
            </w:pPr>
            <w:r>
              <w:rPr>
                <w:rFonts w:ascii="Muli" w:eastAsia="Muli" w:hAnsi="Muli" w:cs="Muli"/>
                <w:sz w:val="20"/>
                <w:szCs w:val="20"/>
              </w:rPr>
              <w:t>Materials consistently include learning experiences that help students build from prior experiences to negotiate new understandings and abilities and apply their understandings in a variety of ways.</w:t>
            </w:r>
          </w:p>
        </w:tc>
      </w:tr>
      <w:tr w:rsidR="00456479" w14:paraId="225F35D2" w14:textId="77777777">
        <w:trPr>
          <w:trHeight w:val="1040"/>
        </w:trPr>
        <w:tc>
          <w:tcPr>
            <w:tcW w:w="9405" w:type="dxa"/>
            <w:vMerge w:val="restart"/>
          </w:tcPr>
          <w:p w14:paraId="7AACF5EE" w14:textId="77777777" w:rsidR="00456479" w:rsidRDefault="00267ACA">
            <w:pPr>
              <w:pStyle w:val="normal0"/>
              <w:ind w:right="150" w:firstLine="180"/>
              <w:rPr>
                <w:rFonts w:ascii="Muli" w:eastAsia="Muli" w:hAnsi="Muli" w:cs="Muli"/>
                <w:b/>
                <w:sz w:val="20"/>
                <w:szCs w:val="20"/>
              </w:rPr>
            </w:pPr>
            <w:r>
              <w:rPr>
                <w:rFonts w:ascii="Muli" w:eastAsia="Muli" w:hAnsi="Muli" w:cs="Muli"/>
                <w:b/>
                <w:color w:val="FF126D"/>
                <w:sz w:val="20"/>
                <w:szCs w:val="20"/>
              </w:rPr>
              <w:t>Evidence</w:t>
            </w:r>
          </w:p>
          <w:p w14:paraId="5863963C" w14:textId="77777777" w:rsidR="00456479" w:rsidRDefault="00267ACA">
            <w:pPr>
              <w:pStyle w:val="normal0"/>
              <w:numPr>
                <w:ilvl w:val="0"/>
                <w:numId w:val="20"/>
              </w:numPr>
              <w:contextualSpacing/>
              <w:rPr>
                <w:rFonts w:ascii="Muli" w:eastAsia="Muli" w:hAnsi="Muli" w:cs="Muli"/>
                <w:sz w:val="20"/>
                <w:szCs w:val="20"/>
              </w:rPr>
            </w:pPr>
            <w:r>
              <w:rPr>
                <w:rFonts w:ascii="Muli" w:eastAsia="Muli" w:hAnsi="Muli" w:cs="Muli"/>
                <w:sz w:val="20"/>
                <w:szCs w:val="20"/>
              </w:rPr>
              <w:t>Students write a claim about how animals attrac</w:t>
            </w:r>
            <w:r>
              <w:rPr>
                <w:rFonts w:ascii="Muli" w:eastAsia="Muli" w:hAnsi="Muli" w:cs="Muli"/>
                <w:sz w:val="20"/>
                <w:szCs w:val="20"/>
              </w:rPr>
              <w:t>t mates and then identify evidence for their claim. They revise their claim in light of the evidence and explain their reasoning, concerning how the evidence changed or strengthened their claim (</w:t>
            </w:r>
            <w:r>
              <w:rPr>
                <w:rFonts w:ascii="Muli" w:eastAsia="Muli" w:hAnsi="Muli" w:cs="Muli"/>
                <w:b/>
                <w:color w:val="FF126D"/>
                <w:sz w:val="20"/>
                <w:szCs w:val="20"/>
              </w:rPr>
              <w:t>DQ1L3 TB p. 10</w:t>
            </w:r>
            <w:r>
              <w:rPr>
                <w:rFonts w:ascii="Muli" w:eastAsia="Muli" w:hAnsi="Muli" w:cs="Muli"/>
                <w:sz w:val="20"/>
                <w:szCs w:val="20"/>
              </w:rPr>
              <w:t>).</w:t>
            </w:r>
          </w:p>
        </w:tc>
        <w:tc>
          <w:tcPr>
            <w:tcW w:w="4695" w:type="dxa"/>
            <w:vMerge w:val="restart"/>
          </w:tcPr>
          <w:p w14:paraId="7F874F7D"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F08687A" wp14:editId="509CD674">
                  <wp:extent cx="2579994" cy="3395663"/>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
                          <a:srcRect/>
                          <a:stretch>
                            <a:fillRect/>
                          </a:stretch>
                        </pic:blipFill>
                        <pic:spPr>
                          <a:xfrm>
                            <a:off x="0" y="0"/>
                            <a:ext cx="2579994" cy="3395663"/>
                          </a:xfrm>
                          <a:prstGeom prst="rect">
                            <a:avLst/>
                          </a:prstGeom>
                          <a:ln/>
                        </pic:spPr>
                      </pic:pic>
                    </a:graphicData>
                  </a:graphic>
                </wp:inline>
              </w:drawing>
            </w:r>
          </w:p>
          <w:p w14:paraId="05016A7F"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DQ1L3 TB p. 10</w:t>
            </w:r>
          </w:p>
        </w:tc>
      </w:tr>
      <w:tr w:rsidR="00456479" w14:paraId="37928294" w14:textId="77777777">
        <w:trPr>
          <w:trHeight w:val="4760"/>
        </w:trPr>
        <w:tc>
          <w:tcPr>
            <w:tcW w:w="9405" w:type="dxa"/>
            <w:vMerge/>
          </w:tcPr>
          <w:p w14:paraId="39A08F28" w14:textId="77777777" w:rsidR="00456479" w:rsidRDefault="00456479">
            <w:pPr>
              <w:pStyle w:val="normal0"/>
              <w:ind w:right="135"/>
              <w:rPr>
                <w:rFonts w:ascii="Muli" w:eastAsia="Muli" w:hAnsi="Muli" w:cs="Muli"/>
                <w:b/>
                <w:sz w:val="20"/>
                <w:szCs w:val="20"/>
              </w:rPr>
            </w:pPr>
          </w:p>
        </w:tc>
        <w:tc>
          <w:tcPr>
            <w:tcW w:w="4695" w:type="dxa"/>
            <w:vMerge/>
          </w:tcPr>
          <w:p w14:paraId="5FA0D183" w14:textId="77777777" w:rsidR="00456479" w:rsidRDefault="00456479">
            <w:pPr>
              <w:pStyle w:val="normal0"/>
              <w:rPr>
                <w:rFonts w:ascii="Muli" w:eastAsia="Muli" w:hAnsi="Muli" w:cs="Muli"/>
                <w:sz w:val="20"/>
                <w:szCs w:val="20"/>
              </w:rPr>
            </w:pPr>
          </w:p>
        </w:tc>
      </w:tr>
      <w:tr w:rsidR="00456479" w14:paraId="04E56E5C" w14:textId="77777777">
        <w:trPr>
          <w:trHeight w:val="1040"/>
        </w:trPr>
        <w:tc>
          <w:tcPr>
            <w:tcW w:w="9405" w:type="dxa"/>
          </w:tcPr>
          <w:p w14:paraId="0AA84880" w14:textId="77777777" w:rsidR="00456479" w:rsidRDefault="00267ACA">
            <w:pPr>
              <w:pStyle w:val="normal0"/>
              <w:numPr>
                <w:ilvl w:val="0"/>
                <w:numId w:val="20"/>
              </w:numPr>
              <w:ind w:right="135"/>
              <w:contextualSpacing/>
              <w:rPr>
                <w:rFonts w:ascii="Muli" w:eastAsia="Muli" w:hAnsi="Muli" w:cs="Muli"/>
                <w:sz w:val="20"/>
                <w:szCs w:val="20"/>
              </w:rPr>
            </w:pPr>
            <w:r>
              <w:rPr>
                <w:rFonts w:ascii="Muli" w:eastAsia="Muli" w:hAnsi="Muli" w:cs="Muli"/>
                <w:sz w:val="20"/>
                <w:szCs w:val="20"/>
              </w:rPr>
              <w:t xml:space="preserve">Students write a scientific explanation about growth rates of different strains of chicken, drawing on learning from Grade 5 Module 2 where they learned that animals gain matter from plants or other animals </w:t>
            </w:r>
            <w:r>
              <w:rPr>
                <w:rFonts w:ascii="Muli" w:eastAsia="Muli" w:hAnsi="Muli" w:cs="Muli"/>
                <w:b/>
                <w:color w:val="FF126D"/>
                <w:sz w:val="20"/>
                <w:szCs w:val="20"/>
              </w:rPr>
              <w:t>(DQ3L5 TE p. 220)</w:t>
            </w:r>
            <w:r>
              <w:rPr>
                <w:rFonts w:ascii="Muli" w:eastAsia="Muli" w:hAnsi="Muli" w:cs="Muli"/>
                <w:sz w:val="20"/>
                <w:szCs w:val="20"/>
              </w:rPr>
              <w:t>.</w:t>
            </w:r>
          </w:p>
        </w:tc>
        <w:tc>
          <w:tcPr>
            <w:tcW w:w="4695" w:type="dxa"/>
          </w:tcPr>
          <w:p w14:paraId="74F21D14"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BDBFA95" wp14:editId="3128E2D2">
                  <wp:extent cx="2824163" cy="1439237"/>
                  <wp:effectExtent l="12700" t="12700" r="12700" b="12700"/>
                  <wp:docPr id="4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2824163" cy="1439237"/>
                          </a:xfrm>
                          <a:prstGeom prst="rect">
                            <a:avLst/>
                          </a:prstGeom>
                          <a:ln w="12700">
                            <a:solidFill>
                              <a:srgbClr val="CCCCCC"/>
                            </a:solidFill>
                            <a:prstDash val="solid"/>
                          </a:ln>
                        </pic:spPr>
                      </pic:pic>
                    </a:graphicData>
                  </a:graphic>
                </wp:inline>
              </w:drawing>
            </w:r>
          </w:p>
          <w:p w14:paraId="07528C85" w14:textId="77777777" w:rsidR="00456479" w:rsidRDefault="00267ACA">
            <w:pPr>
              <w:pStyle w:val="normal0"/>
              <w:ind w:left="90" w:right="135"/>
              <w:rPr>
                <w:rFonts w:ascii="Muli" w:eastAsia="Muli" w:hAnsi="Muli" w:cs="Muli"/>
                <w:sz w:val="20"/>
                <w:szCs w:val="20"/>
              </w:rPr>
            </w:pPr>
            <w:r>
              <w:rPr>
                <w:rFonts w:ascii="Muli" w:eastAsia="Muli" w:hAnsi="Muli" w:cs="Muli"/>
                <w:b/>
                <w:color w:val="FF126D"/>
                <w:sz w:val="20"/>
                <w:szCs w:val="20"/>
              </w:rPr>
              <w:t>DQ3L5 TE p. 220</w:t>
            </w:r>
          </w:p>
        </w:tc>
      </w:tr>
      <w:tr w:rsidR="00456479" w14:paraId="46C24049" w14:textId="77777777">
        <w:trPr>
          <w:trHeight w:val="1040"/>
        </w:trPr>
        <w:tc>
          <w:tcPr>
            <w:tcW w:w="9405" w:type="dxa"/>
            <w:vMerge w:val="restart"/>
          </w:tcPr>
          <w:p w14:paraId="70C7810E" w14:textId="77777777" w:rsidR="00456479" w:rsidRDefault="00267ACA">
            <w:pPr>
              <w:pStyle w:val="normal0"/>
              <w:numPr>
                <w:ilvl w:val="0"/>
                <w:numId w:val="20"/>
              </w:numPr>
              <w:contextualSpacing/>
              <w:rPr>
                <w:rFonts w:ascii="Muli" w:eastAsia="Muli" w:hAnsi="Muli" w:cs="Muli"/>
                <w:sz w:val="20"/>
                <w:szCs w:val="20"/>
              </w:rPr>
            </w:pPr>
            <w:r>
              <w:rPr>
                <w:rFonts w:ascii="Muli" w:eastAsia="Muli" w:hAnsi="Muli" w:cs="Muli"/>
                <w:sz w:val="20"/>
                <w:szCs w:val="20"/>
              </w:rPr>
              <w:t>Students peer-review a partner’s claim-evidence-reasoning organizer, giving positive comments, asking questions, and suggesting potential changes (</w:t>
            </w:r>
            <w:r>
              <w:rPr>
                <w:rFonts w:ascii="Muli" w:eastAsia="Muli" w:hAnsi="Muli" w:cs="Muli"/>
                <w:b/>
                <w:color w:val="FF126D"/>
                <w:sz w:val="20"/>
                <w:szCs w:val="20"/>
              </w:rPr>
              <w:t>DQ1L10 TB p. 46</w:t>
            </w:r>
            <w:r>
              <w:rPr>
                <w:rFonts w:ascii="Muli" w:eastAsia="Muli" w:hAnsi="Muli" w:cs="Muli"/>
                <w:sz w:val="20"/>
                <w:szCs w:val="20"/>
              </w:rPr>
              <w:t>).</w:t>
            </w:r>
          </w:p>
        </w:tc>
        <w:tc>
          <w:tcPr>
            <w:tcW w:w="4695" w:type="dxa"/>
            <w:vMerge w:val="restart"/>
          </w:tcPr>
          <w:p w14:paraId="30AEFAC9"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8927114" wp14:editId="7508B71F">
                  <wp:extent cx="2614613" cy="2388435"/>
                  <wp:effectExtent l="0" t="0" r="0" b="0"/>
                  <wp:docPr id="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a:srcRect/>
                          <a:stretch>
                            <a:fillRect/>
                          </a:stretch>
                        </pic:blipFill>
                        <pic:spPr>
                          <a:xfrm>
                            <a:off x="0" y="0"/>
                            <a:ext cx="2614613" cy="2388435"/>
                          </a:xfrm>
                          <a:prstGeom prst="rect">
                            <a:avLst/>
                          </a:prstGeom>
                          <a:ln/>
                        </pic:spPr>
                      </pic:pic>
                    </a:graphicData>
                  </a:graphic>
                </wp:inline>
              </w:drawing>
            </w:r>
          </w:p>
          <w:p w14:paraId="43D7BEDF"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lastRenderedPageBreak/>
              <w:t>DQ1L10 TB p. 46</w:t>
            </w:r>
          </w:p>
        </w:tc>
      </w:tr>
      <w:tr w:rsidR="00456479" w14:paraId="1B18D545" w14:textId="77777777">
        <w:trPr>
          <w:trHeight w:val="3220"/>
        </w:trPr>
        <w:tc>
          <w:tcPr>
            <w:tcW w:w="9405" w:type="dxa"/>
            <w:vMerge/>
          </w:tcPr>
          <w:p w14:paraId="2529111B" w14:textId="77777777" w:rsidR="00456479" w:rsidRDefault="00456479">
            <w:pPr>
              <w:pStyle w:val="normal0"/>
              <w:rPr>
                <w:rFonts w:ascii="Muli" w:eastAsia="Muli" w:hAnsi="Muli" w:cs="Muli"/>
                <w:b/>
                <w:sz w:val="20"/>
                <w:szCs w:val="20"/>
              </w:rPr>
            </w:pPr>
          </w:p>
        </w:tc>
        <w:tc>
          <w:tcPr>
            <w:tcW w:w="4695" w:type="dxa"/>
            <w:vMerge/>
          </w:tcPr>
          <w:p w14:paraId="3381F175" w14:textId="77777777" w:rsidR="00456479" w:rsidRDefault="00456479">
            <w:pPr>
              <w:pStyle w:val="normal0"/>
              <w:rPr>
                <w:rFonts w:ascii="Muli" w:eastAsia="Muli" w:hAnsi="Muli" w:cs="Muli"/>
                <w:sz w:val="20"/>
                <w:szCs w:val="20"/>
              </w:rPr>
            </w:pPr>
          </w:p>
        </w:tc>
      </w:tr>
      <w:tr w:rsidR="00456479" w14:paraId="4271A1C2" w14:textId="77777777">
        <w:trPr>
          <w:trHeight w:val="295"/>
        </w:trPr>
        <w:tc>
          <w:tcPr>
            <w:tcW w:w="9405" w:type="dxa"/>
            <w:vMerge/>
          </w:tcPr>
          <w:p w14:paraId="22BA81A6" w14:textId="77777777" w:rsidR="00456479" w:rsidRDefault="00456479">
            <w:pPr>
              <w:pStyle w:val="normal0"/>
              <w:rPr>
                <w:rFonts w:ascii="Muli" w:eastAsia="Muli" w:hAnsi="Muli" w:cs="Muli"/>
                <w:b/>
                <w:sz w:val="20"/>
                <w:szCs w:val="20"/>
              </w:rPr>
            </w:pPr>
          </w:p>
        </w:tc>
        <w:tc>
          <w:tcPr>
            <w:tcW w:w="4695" w:type="dxa"/>
            <w:vMerge/>
          </w:tcPr>
          <w:p w14:paraId="680C7F04" w14:textId="77777777" w:rsidR="00456479" w:rsidRDefault="00456479">
            <w:pPr>
              <w:pStyle w:val="normal0"/>
              <w:rPr>
                <w:rFonts w:ascii="Muli" w:eastAsia="Muli" w:hAnsi="Muli" w:cs="Muli"/>
                <w:sz w:val="20"/>
                <w:szCs w:val="20"/>
              </w:rPr>
            </w:pPr>
          </w:p>
        </w:tc>
      </w:tr>
      <w:tr w:rsidR="00456479" w14:paraId="3C3CB217" w14:textId="77777777">
        <w:trPr>
          <w:trHeight w:val="1040"/>
        </w:trPr>
        <w:tc>
          <w:tcPr>
            <w:tcW w:w="9405" w:type="dxa"/>
          </w:tcPr>
          <w:p w14:paraId="1C575922" w14:textId="77777777" w:rsidR="00456479" w:rsidRDefault="00267ACA">
            <w:pPr>
              <w:pStyle w:val="normal0"/>
              <w:numPr>
                <w:ilvl w:val="0"/>
                <w:numId w:val="20"/>
              </w:numPr>
              <w:contextualSpacing/>
              <w:rPr>
                <w:rFonts w:ascii="Muli" w:eastAsia="Muli" w:hAnsi="Muli" w:cs="Muli"/>
                <w:sz w:val="20"/>
                <w:szCs w:val="20"/>
              </w:rPr>
            </w:pPr>
            <w:r>
              <w:rPr>
                <w:rFonts w:ascii="Muli" w:eastAsia="Muli" w:hAnsi="Muli" w:cs="Muli"/>
                <w:sz w:val="20"/>
                <w:szCs w:val="20"/>
              </w:rPr>
              <w:t xml:space="preserve">Students dissect a flower and draw a model of the various flower parts </w:t>
            </w:r>
            <w:r>
              <w:rPr>
                <w:rFonts w:ascii="Muli" w:eastAsia="Muli" w:hAnsi="Muli" w:cs="Muli"/>
                <w:b/>
                <w:color w:val="FF126D"/>
                <w:sz w:val="20"/>
                <w:szCs w:val="20"/>
              </w:rPr>
              <w:t>(DQ2L1 TB p. 52)</w:t>
            </w:r>
            <w:r>
              <w:rPr>
                <w:rFonts w:ascii="Muli" w:eastAsia="Muli" w:hAnsi="Muli" w:cs="Muli"/>
                <w:sz w:val="20"/>
                <w:szCs w:val="20"/>
              </w:rPr>
              <w:t>.</w:t>
            </w:r>
          </w:p>
        </w:tc>
        <w:tc>
          <w:tcPr>
            <w:tcW w:w="4695" w:type="dxa"/>
          </w:tcPr>
          <w:p w14:paraId="5E033608"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A661C91" wp14:editId="6A62CDB3">
                  <wp:extent cx="2776538" cy="1806529"/>
                  <wp:effectExtent l="12700" t="12700" r="12700" b="12700"/>
                  <wp:docPr id="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2776538" cy="1806529"/>
                          </a:xfrm>
                          <a:prstGeom prst="rect">
                            <a:avLst/>
                          </a:prstGeom>
                          <a:ln w="12700">
                            <a:solidFill>
                              <a:srgbClr val="CCCCCC"/>
                            </a:solidFill>
                            <a:prstDash val="solid"/>
                          </a:ln>
                        </pic:spPr>
                      </pic:pic>
                    </a:graphicData>
                  </a:graphic>
                </wp:inline>
              </w:drawing>
            </w:r>
          </w:p>
        </w:tc>
      </w:tr>
      <w:tr w:rsidR="00456479" w14:paraId="5F83DFA9" w14:textId="77777777">
        <w:trPr>
          <w:trHeight w:val="1040"/>
        </w:trPr>
        <w:tc>
          <w:tcPr>
            <w:tcW w:w="9405" w:type="dxa"/>
          </w:tcPr>
          <w:p w14:paraId="7F88E662" w14:textId="77777777" w:rsidR="00456479" w:rsidRDefault="00267ACA">
            <w:pPr>
              <w:pStyle w:val="normal0"/>
              <w:numPr>
                <w:ilvl w:val="0"/>
                <w:numId w:val="20"/>
              </w:numPr>
              <w:contextualSpacing/>
              <w:rPr>
                <w:rFonts w:ascii="Muli" w:eastAsia="Muli" w:hAnsi="Muli" w:cs="Muli"/>
                <w:sz w:val="20"/>
                <w:szCs w:val="20"/>
              </w:rPr>
            </w:pPr>
            <w:r>
              <w:rPr>
                <w:rFonts w:ascii="Muli" w:eastAsia="Muli" w:hAnsi="Muli" w:cs="Muli"/>
                <w:sz w:val="20"/>
                <w:szCs w:val="20"/>
              </w:rPr>
              <w:t xml:space="preserve">Students make a claim about a pattern in the wing color of butterflies, providing evidence </w:t>
            </w:r>
            <w:r>
              <w:rPr>
                <w:rFonts w:ascii="Muli" w:eastAsia="Muli" w:hAnsi="Muli" w:cs="Muli"/>
                <w:b/>
                <w:color w:val="FF126D"/>
                <w:sz w:val="20"/>
                <w:szCs w:val="20"/>
              </w:rPr>
              <w:t>(DQ2L5 TB p. 64)</w:t>
            </w:r>
            <w:r>
              <w:rPr>
                <w:rFonts w:ascii="Muli" w:eastAsia="Muli" w:hAnsi="Muli" w:cs="Muli"/>
                <w:sz w:val="20"/>
                <w:szCs w:val="20"/>
              </w:rPr>
              <w:t>.</w:t>
            </w:r>
          </w:p>
        </w:tc>
        <w:tc>
          <w:tcPr>
            <w:tcW w:w="4695" w:type="dxa"/>
          </w:tcPr>
          <w:p w14:paraId="41FB2920"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B7A42DC" wp14:editId="4C63F545">
                  <wp:extent cx="2809875" cy="172402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b="8121"/>
                          <a:stretch>
                            <a:fillRect/>
                          </a:stretch>
                        </pic:blipFill>
                        <pic:spPr>
                          <a:xfrm>
                            <a:off x="0" y="0"/>
                            <a:ext cx="2809875" cy="1724025"/>
                          </a:xfrm>
                          <a:prstGeom prst="rect">
                            <a:avLst/>
                          </a:prstGeom>
                          <a:ln/>
                        </pic:spPr>
                      </pic:pic>
                    </a:graphicData>
                  </a:graphic>
                </wp:inline>
              </w:drawing>
            </w:r>
          </w:p>
          <w:p w14:paraId="5B657D46"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DQ2L5 TB p. 64</w:t>
            </w:r>
          </w:p>
        </w:tc>
      </w:tr>
      <w:tr w:rsidR="00456479" w14:paraId="62F3C43C" w14:textId="77777777">
        <w:trPr>
          <w:trHeight w:val="480"/>
        </w:trPr>
        <w:tc>
          <w:tcPr>
            <w:tcW w:w="14100" w:type="dxa"/>
            <w:gridSpan w:val="2"/>
            <w:shd w:val="clear" w:color="auto" w:fill="CCCCCC"/>
          </w:tcPr>
          <w:p w14:paraId="6128528D" w14:textId="77777777" w:rsidR="00456479" w:rsidRDefault="00267ACA">
            <w:pPr>
              <w:pStyle w:val="normal0"/>
              <w:spacing w:before="132"/>
              <w:ind w:left="180"/>
              <w:rPr>
                <w:rFonts w:ascii="Muli" w:eastAsia="Muli" w:hAnsi="Muli" w:cs="Muli"/>
                <w:sz w:val="20"/>
                <w:szCs w:val="20"/>
              </w:rPr>
            </w:pPr>
            <w:r>
              <w:rPr>
                <w:rFonts w:ascii="Muli" w:eastAsia="Muli" w:hAnsi="Muli" w:cs="Muli"/>
                <w:b/>
                <w:sz w:val="20"/>
                <w:szCs w:val="20"/>
              </w:rPr>
              <w:t>SW 3: Prior Knowledge</w:t>
            </w:r>
          </w:p>
        </w:tc>
      </w:tr>
      <w:tr w:rsidR="00456479" w14:paraId="3ECD22AF" w14:textId="77777777">
        <w:trPr>
          <w:trHeight w:val="660"/>
        </w:trPr>
        <w:tc>
          <w:tcPr>
            <w:tcW w:w="14100" w:type="dxa"/>
            <w:gridSpan w:val="2"/>
            <w:shd w:val="clear" w:color="auto" w:fill="EFEFEF"/>
          </w:tcPr>
          <w:p w14:paraId="3CBC29E8" w14:textId="77777777" w:rsidR="00456479" w:rsidRDefault="00267ACA">
            <w:pPr>
              <w:pStyle w:val="normal0"/>
              <w:ind w:left="180"/>
              <w:rPr>
                <w:rFonts w:ascii="Muli" w:eastAsia="Muli" w:hAnsi="Muli" w:cs="Muli"/>
                <w:color w:val="2F5496"/>
                <w:sz w:val="20"/>
                <w:szCs w:val="20"/>
              </w:rPr>
            </w:pPr>
            <w:r>
              <w:rPr>
                <w:rFonts w:ascii="Muli" w:eastAsia="Muli" w:hAnsi="Muli" w:cs="Muli"/>
                <w:b/>
                <w:color w:val="2F5496"/>
                <w:sz w:val="20"/>
                <w:szCs w:val="20"/>
              </w:rPr>
              <w:lastRenderedPageBreak/>
              <w:t>The Student Work is High Quality (5) in terms of SW3</w:t>
            </w:r>
          </w:p>
          <w:p w14:paraId="19A089A4" w14:textId="77777777" w:rsidR="00456479" w:rsidRDefault="00267ACA">
            <w:pPr>
              <w:pStyle w:val="normal0"/>
              <w:ind w:left="180" w:right="261"/>
              <w:rPr>
                <w:rFonts w:ascii="Muli" w:eastAsia="Muli" w:hAnsi="Muli" w:cs="Muli"/>
                <w:b/>
                <w:sz w:val="20"/>
                <w:szCs w:val="20"/>
              </w:rPr>
            </w:pPr>
            <w:r>
              <w:rPr>
                <w:rFonts w:ascii="Muli" w:eastAsia="Muli" w:hAnsi="Muli" w:cs="Muli"/>
                <w:sz w:val="20"/>
                <w:szCs w:val="20"/>
              </w:rPr>
              <w:t>Materials consistently leverage student prior knowledge and experiences to motivate their learning.</w:t>
            </w:r>
          </w:p>
        </w:tc>
      </w:tr>
      <w:tr w:rsidR="00456479" w14:paraId="18F87B56" w14:textId="77777777">
        <w:trPr>
          <w:trHeight w:val="4700"/>
        </w:trPr>
        <w:tc>
          <w:tcPr>
            <w:tcW w:w="9405" w:type="dxa"/>
          </w:tcPr>
          <w:p w14:paraId="5EB85FB3" w14:textId="77777777" w:rsidR="00456479" w:rsidRDefault="00267ACA">
            <w:pPr>
              <w:pStyle w:val="normal0"/>
              <w:ind w:right="150" w:firstLine="180"/>
              <w:rPr>
                <w:rFonts w:ascii="Muli" w:eastAsia="Muli" w:hAnsi="Muli" w:cs="Muli"/>
                <w:sz w:val="20"/>
                <w:szCs w:val="20"/>
                <w:shd w:val="clear" w:color="auto" w:fill="F4CCCC"/>
              </w:rPr>
            </w:pPr>
            <w:r>
              <w:rPr>
                <w:rFonts w:ascii="Muli" w:eastAsia="Muli" w:hAnsi="Muli" w:cs="Muli"/>
                <w:b/>
                <w:color w:val="FF126D"/>
                <w:sz w:val="20"/>
                <w:szCs w:val="20"/>
              </w:rPr>
              <w:t>Evidence</w:t>
            </w:r>
          </w:p>
          <w:p w14:paraId="623C44D8"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t>Students engage with a Prior Knowledge Read-Aloud</w:t>
            </w:r>
            <w:r>
              <w:rPr>
                <w:rFonts w:ascii="Muli" w:eastAsia="Muli" w:hAnsi="Muli" w:cs="Muli"/>
                <w:sz w:val="20"/>
                <w:szCs w:val="20"/>
              </w:rPr>
              <w:t xml:space="preserve"> about how living things adapt to their environments and are affected by environmental changes (</w:t>
            </w:r>
            <w:r>
              <w:rPr>
                <w:rFonts w:ascii="Muli" w:eastAsia="Muli" w:hAnsi="Muli" w:cs="Muli"/>
                <w:b/>
                <w:color w:val="FF126D"/>
                <w:sz w:val="20"/>
                <w:szCs w:val="20"/>
              </w:rPr>
              <w:t>DQ1L2 TE p. 20</w:t>
            </w:r>
            <w:r>
              <w:rPr>
                <w:rFonts w:ascii="Muli" w:eastAsia="Muli" w:hAnsi="Muli" w:cs="Muli"/>
                <w:sz w:val="20"/>
                <w:szCs w:val="20"/>
              </w:rPr>
              <w:t>).</w:t>
            </w:r>
          </w:p>
          <w:p w14:paraId="3D2A051C" w14:textId="77777777" w:rsidR="00456479" w:rsidRDefault="00456479">
            <w:pPr>
              <w:pStyle w:val="normal0"/>
              <w:rPr>
                <w:rFonts w:ascii="Muli" w:eastAsia="Muli" w:hAnsi="Muli" w:cs="Muli"/>
                <w:color w:val="FF0000"/>
                <w:sz w:val="20"/>
                <w:szCs w:val="20"/>
              </w:rPr>
            </w:pPr>
          </w:p>
          <w:p w14:paraId="1012D991" w14:textId="77777777" w:rsidR="00456479" w:rsidRDefault="00456479">
            <w:pPr>
              <w:pStyle w:val="normal0"/>
              <w:ind w:left="720"/>
              <w:rPr>
                <w:rFonts w:ascii="Muli" w:eastAsia="Muli" w:hAnsi="Muli" w:cs="Muli"/>
                <w:b/>
                <w:sz w:val="20"/>
                <w:szCs w:val="20"/>
              </w:rPr>
            </w:pPr>
          </w:p>
        </w:tc>
        <w:tc>
          <w:tcPr>
            <w:tcW w:w="4695" w:type="dxa"/>
          </w:tcPr>
          <w:p w14:paraId="3E3153B6"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1C541F1" wp14:editId="777F8746">
                  <wp:extent cx="2500313" cy="2645785"/>
                  <wp:effectExtent l="0" t="0" r="0" b="0"/>
                  <wp:docPr id="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a:stretch>
                            <a:fillRect/>
                          </a:stretch>
                        </pic:blipFill>
                        <pic:spPr>
                          <a:xfrm>
                            <a:off x="0" y="0"/>
                            <a:ext cx="2500313" cy="2645785"/>
                          </a:xfrm>
                          <a:prstGeom prst="rect">
                            <a:avLst/>
                          </a:prstGeom>
                          <a:ln/>
                        </pic:spPr>
                      </pic:pic>
                    </a:graphicData>
                  </a:graphic>
                </wp:inline>
              </w:drawing>
            </w:r>
          </w:p>
          <w:p w14:paraId="05654443"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DQ1L2 TE p. 20</w:t>
            </w:r>
          </w:p>
        </w:tc>
      </w:tr>
      <w:tr w:rsidR="00456479" w14:paraId="485C13D5" w14:textId="77777777">
        <w:trPr>
          <w:trHeight w:val="1040"/>
        </w:trPr>
        <w:tc>
          <w:tcPr>
            <w:tcW w:w="9405" w:type="dxa"/>
            <w:vMerge w:val="restart"/>
          </w:tcPr>
          <w:p w14:paraId="0FA0402D"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t>Students complete Pre-Explorations (diagnostic pre-assessments) to elicit awareness of their prior knowledge and misconceptions (</w:t>
            </w:r>
            <w:r>
              <w:rPr>
                <w:rFonts w:ascii="Muli" w:eastAsia="Muli" w:hAnsi="Muli" w:cs="Muli"/>
                <w:b/>
                <w:color w:val="FF126D"/>
                <w:sz w:val="20"/>
                <w:szCs w:val="20"/>
              </w:rPr>
              <w:t>DQ1L1 TB p. 4</w:t>
            </w:r>
            <w:r>
              <w:rPr>
                <w:rFonts w:ascii="Muli" w:eastAsia="Muli" w:hAnsi="Muli" w:cs="Muli"/>
                <w:sz w:val="20"/>
                <w:szCs w:val="20"/>
              </w:rPr>
              <w:t>,</w:t>
            </w:r>
            <w:r>
              <w:rPr>
                <w:rFonts w:ascii="Muli" w:eastAsia="Muli" w:hAnsi="Muli" w:cs="Muli"/>
                <w:b/>
                <w:color w:val="FF126D"/>
                <w:sz w:val="20"/>
                <w:szCs w:val="20"/>
              </w:rPr>
              <w:t xml:space="preserve"> DQ2L1 TB p. 54</w:t>
            </w:r>
            <w:r>
              <w:rPr>
                <w:rFonts w:ascii="Muli" w:eastAsia="Muli" w:hAnsi="Muli" w:cs="Muli"/>
                <w:sz w:val="20"/>
                <w:szCs w:val="20"/>
              </w:rPr>
              <w:t xml:space="preserve">, and </w:t>
            </w:r>
            <w:r>
              <w:rPr>
                <w:rFonts w:ascii="Muli" w:eastAsia="Muli" w:hAnsi="Muli" w:cs="Muli"/>
                <w:b/>
                <w:color w:val="FF126D"/>
                <w:sz w:val="20"/>
                <w:szCs w:val="20"/>
              </w:rPr>
              <w:t>DQ3L1 TB p. 90</w:t>
            </w:r>
            <w:r>
              <w:rPr>
                <w:rFonts w:ascii="Muli" w:eastAsia="Muli" w:hAnsi="Muli" w:cs="Muli"/>
                <w:sz w:val="20"/>
                <w:szCs w:val="20"/>
              </w:rPr>
              <w:t>).</w:t>
            </w:r>
          </w:p>
        </w:tc>
        <w:tc>
          <w:tcPr>
            <w:tcW w:w="4695" w:type="dxa"/>
            <w:vMerge w:val="restart"/>
          </w:tcPr>
          <w:p w14:paraId="11CABF17"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27588A1" wp14:editId="2207809A">
                  <wp:extent cx="2786063" cy="2241352"/>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786063" cy="2241352"/>
                          </a:xfrm>
                          <a:prstGeom prst="rect">
                            <a:avLst/>
                          </a:prstGeom>
                          <a:ln/>
                        </pic:spPr>
                      </pic:pic>
                    </a:graphicData>
                  </a:graphic>
                </wp:inline>
              </w:drawing>
            </w:r>
          </w:p>
          <w:p w14:paraId="2A11866F"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DQ1L1 TB p. 4</w:t>
            </w:r>
          </w:p>
          <w:p w14:paraId="7D5F2930" w14:textId="77777777" w:rsidR="00456479" w:rsidRDefault="00456479">
            <w:pPr>
              <w:pStyle w:val="normal0"/>
              <w:ind w:left="90"/>
              <w:rPr>
                <w:rFonts w:ascii="Muli" w:eastAsia="Muli" w:hAnsi="Muli" w:cs="Muli"/>
                <w:b/>
                <w:color w:val="FF126D"/>
                <w:sz w:val="20"/>
                <w:szCs w:val="20"/>
              </w:rPr>
            </w:pPr>
          </w:p>
          <w:p w14:paraId="46BC009C"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14DD4E05" wp14:editId="0906C087">
                  <wp:extent cx="2805113" cy="1366593"/>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2805113" cy="1366593"/>
                          </a:xfrm>
                          <a:prstGeom prst="rect">
                            <a:avLst/>
                          </a:prstGeom>
                          <a:ln/>
                        </pic:spPr>
                      </pic:pic>
                    </a:graphicData>
                  </a:graphic>
                </wp:inline>
              </w:drawing>
            </w:r>
          </w:p>
          <w:p w14:paraId="35704959"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DQ2L1 TB p. 54</w:t>
            </w:r>
          </w:p>
          <w:p w14:paraId="2FBAABA8" w14:textId="77777777" w:rsidR="00456479" w:rsidRDefault="00456479">
            <w:pPr>
              <w:pStyle w:val="normal0"/>
              <w:ind w:left="90"/>
              <w:rPr>
                <w:rFonts w:ascii="Muli" w:eastAsia="Muli" w:hAnsi="Muli" w:cs="Muli"/>
                <w:b/>
                <w:color w:val="FF126D"/>
                <w:sz w:val="20"/>
                <w:szCs w:val="20"/>
              </w:rPr>
            </w:pPr>
          </w:p>
          <w:p w14:paraId="27581B15"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314C30C" wp14:editId="2E8B928E">
                  <wp:extent cx="2786063" cy="1705570"/>
                  <wp:effectExtent l="0" t="0" r="0" b="0"/>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a:stretch>
                            <a:fillRect/>
                          </a:stretch>
                        </pic:blipFill>
                        <pic:spPr>
                          <a:xfrm>
                            <a:off x="0" y="0"/>
                            <a:ext cx="2786063" cy="1705570"/>
                          </a:xfrm>
                          <a:prstGeom prst="rect">
                            <a:avLst/>
                          </a:prstGeom>
                          <a:ln/>
                        </pic:spPr>
                      </pic:pic>
                    </a:graphicData>
                  </a:graphic>
                </wp:inline>
              </w:drawing>
            </w:r>
          </w:p>
          <w:p w14:paraId="7A13C04E"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DQ3L1 TB p. 90</w:t>
            </w:r>
          </w:p>
          <w:p w14:paraId="62C55BB5" w14:textId="77777777" w:rsidR="00456479" w:rsidRDefault="00456479">
            <w:pPr>
              <w:pStyle w:val="normal0"/>
              <w:ind w:left="90"/>
              <w:rPr>
                <w:rFonts w:ascii="Muli" w:eastAsia="Muli" w:hAnsi="Muli" w:cs="Muli"/>
                <w:b/>
                <w:color w:val="FF126D"/>
                <w:sz w:val="20"/>
                <w:szCs w:val="20"/>
              </w:rPr>
            </w:pPr>
          </w:p>
        </w:tc>
      </w:tr>
      <w:tr w:rsidR="00456479" w14:paraId="4AAF24FC" w14:textId="77777777">
        <w:trPr>
          <w:trHeight w:val="1040"/>
        </w:trPr>
        <w:tc>
          <w:tcPr>
            <w:tcW w:w="9405" w:type="dxa"/>
            <w:vMerge/>
          </w:tcPr>
          <w:p w14:paraId="0F71AD7F" w14:textId="77777777" w:rsidR="00456479" w:rsidRDefault="00456479">
            <w:pPr>
              <w:pStyle w:val="normal0"/>
              <w:rPr>
                <w:rFonts w:ascii="Muli" w:eastAsia="Muli" w:hAnsi="Muli" w:cs="Muli"/>
                <w:b/>
                <w:sz w:val="20"/>
                <w:szCs w:val="20"/>
              </w:rPr>
            </w:pPr>
          </w:p>
        </w:tc>
        <w:tc>
          <w:tcPr>
            <w:tcW w:w="4695" w:type="dxa"/>
            <w:vMerge/>
          </w:tcPr>
          <w:p w14:paraId="17198FD2" w14:textId="77777777" w:rsidR="00456479" w:rsidRDefault="00456479">
            <w:pPr>
              <w:pStyle w:val="normal0"/>
              <w:rPr>
                <w:rFonts w:ascii="Muli" w:eastAsia="Muli" w:hAnsi="Muli" w:cs="Muli"/>
                <w:sz w:val="20"/>
                <w:szCs w:val="20"/>
              </w:rPr>
            </w:pPr>
          </w:p>
        </w:tc>
      </w:tr>
      <w:tr w:rsidR="00456479" w14:paraId="38EBF642" w14:textId="77777777">
        <w:trPr>
          <w:trHeight w:val="2140"/>
        </w:trPr>
        <w:tc>
          <w:tcPr>
            <w:tcW w:w="9405" w:type="dxa"/>
            <w:vMerge/>
          </w:tcPr>
          <w:p w14:paraId="3C2AAC24" w14:textId="77777777" w:rsidR="00456479" w:rsidRDefault="00456479">
            <w:pPr>
              <w:pStyle w:val="normal0"/>
              <w:rPr>
                <w:rFonts w:ascii="Muli" w:eastAsia="Muli" w:hAnsi="Muli" w:cs="Muli"/>
                <w:b/>
                <w:sz w:val="20"/>
                <w:szCs w:val="20"/>
              </w:rPr>
            </w:pPr>
          </w:p>
        </w:tc>
        <w:tc>
          <w:tcPr>
            <w:tcW w:w="4695" w:type="dxa"/>
            <w:vMerge/>
          </w:tcPr>
          <w:p w14:paraId="4C1ABDB0" w14:textId="77777777" w:rsidR="00456479" w:rsidRDefault="00456479">
            <w:pPr>
              <w:pStyle w:val="normal0"/>
              <w:rPr>
                <w:rFonts w:ascii="Muli" w:eastAsia="Muli" w:hAnsi="Muli" w:cs="Muli"/>
                <w:sz w:val="20"/>
                <w:szCs w:val="20"/>
              </w:rPr>
            </w:pPr>
          </w:p>
        </w:tc>
      </w:tr>
      <w:tr w:rsidR="00456479" w14:paraId="20E1401B" w14:textId="77777777">
        <w:trPr>
          <w:trHeight w:val="2300"/>
        </w:trPr>
        <w:tc>
          <w:tcPr>
            <w:tcW w:w="9405" w:type="dxa"/>
          </w:tcPr>
          <w:p w14:paraId="4F531C57"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lastRenderedPageBreak/>
              <w:t>Students revise their model of how genes and traits are passed from butterfly parents to offspring, or describe a way they could change their model (</w:t>
            </w:r>
            <w:r>
              <w:rPr>
                <w:rFonts w:ascii="Muli" w:eastAsia="Muli" w:hAnsi="Muli" w:cs="Muli"/>
                <w:b/>
                <w:color w:val="FF126D"/>
                <w:sz w:val="20"/>
                <w:szCs w:val="20"/>
              </w:rPr>
              <w:t>DQ2L8 TB p. 73</w:t>
            </w:r>
            <w:r>
              <w:rPr>
                <w:rFonts w:ascii="Muli" w:eastAsia="Muli" w:hAnsi="Muli" w:cs="Muli"/>
                <w:sz w:val="20"/>
                <w:szCs w:val="20"/>
              </w:rPr>
              <w:t>).</w:t>
            </w:r>
          </w:p>
        </w:tc>
        <w:tc>
          <w:tcPr>
            <w:tcW w:w="4695" w:type="dxa"/>
          </w:tcPr>
          <w:p w14:paraId="427311B1"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B821A58" wp14:editId="093963C2">
                  <wp:extent cx="2786063" cy="1143000"/>
                  <wp:effectExtent l="12700" t="12700" r="12700" b="12700"/>
                  <wp:docPr id="5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2786063" cy="1143000"/>
                          </a:xfrm>
                          <a:prstGeom prst="rect">
                            <a:avLst/>
                          </a:prstGeom>
                          <a:ln w="12700">
                            <a:solidFill>
                              <a:srgbClr val="CCCCCC"/>
                            </a:solidFill>
                            <a:prstDash val="solid"/>
                          </a:ln>
                        </pic:spPr>
                      </pic:pic>
                    </a:graphicData>
                  </a:graphic>
                </wp:inline>
              </w:drawing>
            </w:r>
          </w:p>
          <w:p w14:paraId="537A9635"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DQ2L8 TB p. 73</w:t>
            </w:r>
          </w:p>
        </w:tc>
      </w:tr>
      <w:tr w:rsidR="00456479" w14:paraId="70478EE1" w14:textId="77777777">
        <w:trPr>
          <w:trHeight w:val="1780"/>
        </w:trPr>
        <w:tc>
          <w:tcPr>
            <w:tcW w:w="9405" w:type="dxa"/>
          </w:tcPr>
          <w:p w14:paraId="7C64FEE8" w14:textId="77777777" w:rsidR="00456479" w:rsidRDefault="00267ACA">
            <w:pPr>
              <w:pStyle w:val="normal0"/>
              <w:numPr>
                <w:ilvl w:val="0"/>
                <w:numId w:val="9"/>
              </w:numPr>
              <w:contextualSpacing/>
              <w:rPr>
                <w:rFonts w:ascii="Muli" w:eastAsia="Muli" w:hAnsi="Muli" w:cs="Muli"/>
                <w:sz w:val="20"/>
                <w:szCs w:val="20"/>
              </w:rPr>
            </w:pPr>
            <w:r>
              <w:rPr>
                <w:rFonts w:ascii="Muli" w:eastAsia="Muli" w:hAnsi="Muli" w:cs="Muli"/>
                <w:sz w:val="20"/>
                <w:szCs w:val="20"/>
              </w:rPr>
              <w:t>Students revisit “Analyze and interpret data” (SEP-4) on their Science Tools poster (</w:t>
            </w:r>
            <w:r>
              <w:rPr>
                <w:rFonts w:ascii="Muli" w:eastAsia="Muli" w:hAnsi="Muli" w:cs="Muli"/>
                <w:b/>
                <w:color w:val="FF126D"/>
                <w:sz w:val="20"/>
                <w:szCs w:val="20"/>
              </w:rPr>
              <w:t>DQ1L5 TE p. 47</w:t>
            </w:r>
            <w:r>
              <w:rPr>
                <w:rFonts w:ascii="Muli" w:eastAsia="Muli" w:hAnsi="Muli" w:cs="Muli"/>
                <w:sz w:val="20"/>
                <w:szCs w:val="20"/>
              </w:rPr>
              <w:t>).</w:t>
            </w:r>
          </w:p>
          <w:p w14:paraId="499405D6" w14:textId="77777777" w:rsidR="00456479" w:rsidRDefault="00456479">
            <w:pPr>
              <w:pStyle w:val="normal0"/>
              <w:ind w:left="720" w:hanging="360"/>
              <w:rPr>
                <w:rFonts w:ascii="Muli" w:eastAsia="Muli" w:hAnsi="Muli" w:cs="Muli"/>
                <w:sz w:val="20"/>
                <w:szCs w:val="20"/>
              </w:rPr>
            </w:pPr>
          </w:p>
        </w:tc>
        <w:tc>
          <w:tcPr>
            <w:tcW w:w="4695" w:type="dxa"/>
          </w:tcPr>
          <w:p w14:paraId="4EB0D0D0"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79B4CF62" wp14:editId="2884CE80">
                  <wp:extent cx="2805113" cy="872102"/>
                  <wp:effectExtent l="12700" t="12700" r="12700" b="127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805113" cy="872102"/>
                          </a:xfrm>
                          <a:prstGeom prst="rect">
                            <a:avLst/>
                          </a:prstGeom>
                          <a:ln w="12700">
                            <a:solidFill>
                              <a:srgbClr val="D9D9D9"/>
                            </a:solidFill>
                            <a:prstDash val="solid"/>
                          </a:ln>
                        </pic:spPr>
                      </pic:pic>
                    </a:graphicData>
                  </a:graphic>
                </wp:inline>
              </w:drawing>
            </w:r>
          </w:p>
        </w:tc>
      </w:tr>
      <w:tr w:rsidR="00456479" w14:paraId="5840E955" w14:textId="77777777">
        <w:trPr>
          <w:trHeight w:val="500"/>
        </w:trPr>
        <w:tc>
          <w:tcPr>
            <w:tcW w:w="14100" w:type="dxa"/>
            <w:gridSpan w:val="2"/>
            <w:shd w:val="clear" w:color="auto" w:fill="CCCCCC"/>
          </w:tcPr>
          <w:p w14:paraId="04414D58" w14:textId="77777777" w:rsidR="00456479" w:rsidRDefault="00267ACA">
            <w:pPr>
              <w:pStyle w:val="normal0"/>
              <w:spacing w:before="132"/>
              <w:ind w:left="180"/>
              <w:rPr>
                <w:rFonts w:ascii="Muli" w:eastAsia="Muli" w:hAnsi="Muli" w:cs="Muli"/>
                <w:sz w:val="20"/>
                <w:szCs w:val="20"/>
              </w:rPr>
            </w:pPr>
            <w:r>
              <w:rPr>
                <w:rFonts w:ascii="Muli" w:eastAsia="Muli" w:hAnsi="Muli" w:cs="Muli"/>
                <w:b/>
                <w:color w:val="1C1C1C"/>
                <w:sz w:val="20"/>
                <w:szCs w:val="20"/>
              </w:rPr>
              <w:lastRenderedPageBreak/>
              <w:t>SW 4: Metacognitive Abilities</w:t>
            </w:r>
          </w:p>
        </w:tc>
      </w:tr>
      <w:tr w:rsidR="00456479" w14:paraId="7CE67CB3" w14:textId="77777777">
        <w:trPr>
          <w:trHeight w:val="660"/>
        </w:trPr>
        <w:tc>
          <w:tcPr>
            <w:tcW w:w="14100" w:type="dxa"/>
            <w:gridSpan w:val="2"/>
            <w:shd w:val="clear" w:color="auto" w:fill="EFEFEF"/>
          </w:tcPr>
          <w:p w14:paraId="4D443CD7" w14:textId="77777777" w:rsidR="00456479" w:rsidRDefault="00267ACA">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SW4</w:t>
            </w:r>
          </w:p>
          <w:p w14:paraId="4DDEF193" w14:textId="77777777" w:rsidR="00456479" w:rsidRDefault="00267ACA">
            <w:pPr>
              <w:pStyle w:val="normal0"/>
              <w:spacing w:before="1"/>
              <w:ind w:left="180" w:right="280"/>
              <w:rPr>
                <w:rFonts w:ascii="Muli" w:eastAsia="Muli" w:hAnsi="Muli" w:cs="Muli"/>
                <w:b/>
                <w:sz w:val="20"/>
                <w:szCs w:val="20"/>
              </w:rPr>
            </w:pPr>
            <w:r>
              <w:rPr>
                <w:rFonts w:ascii="Muli" w:eastAsia="Muli" w:hAnsi="Muli" w:cs="Muli"/>
                <w:sz w:val="20"/>
                <w:szCs w:val="20"/>
              </w:rPr>
              <w:t>The materials provide students with regular, explicit opportunities to consider how their learning experiences changed their thinking.</w:t>
            </w:r>
          </w:p>
        </w:tc>
      </w:tr>
      <w:tr w:rsidR="00456479" w14:paraId="7C2E4D8C" w14:textId="77777777">
        <w:trPr>
          <w:trHeight w:val="1520"/>
        </w:trPr>
        <w:tc>
          <w:tcPr>
            <w:tcW w:w="9405" w:type="dxa"/>
          </w:tcPr>
          <w:p w14:paraId="314AD93D" w14:textId="77777777" w:rsidR="00456479" w:rsidRDefault="00267ACA">
            <w:pPr>
              <w:pStyle w:val="normal0"/>
              <w:ind w:right="150" w:firstLine="180"/>
              <w:rPr>
                <w:rFonts w:ascii="Muli" w:eastAsia="Muli" w:hAnsi="Muli" w:cs="Muli"/>
                <w:b/>
                <w:sz w:val="20"/>
                <w:szCs w:val="20"/>
              </w:rPr>
            </w:pPr>
            <w:r>
              <w:rPr>
                <w:rFonts w:ascii="Muli" w:eastAsia="Muli" w:hAnsi="Muli" w:cs="Muli"/>
                <w:b/>
                <w:color w:val="FF126D"/>
                <w:sz w:val="20"/>
                <w:szCs w:val="20"/>
              </w:rPr>
              <w:t>Evidence</w:t>
            </w:r>
          </w:p>
          <w:p w14:paraId="1F7CB687" w14:textId="77777777" w:rsidR="00456479" w:rsidRDefault="00267ACA">
            <w:pPr>
              <w:pStyle w:val="normal0"/>
              <w:numPr>
                <w:ilvl w:val="0"/>
                <w:numId w:val="3"/>
              </w:numPr>
              <w:contextualSpacing/>
              <w:rPr>
                <w:rFonts w:ascii="Muli" w:eastAsia="Muli" w:hAnsi="Muli" w:cs="Muli"/>
                <w:sz w:val="20"/>
                <w:szCs w:val="20"/>
              </w:rPr>
            </w:pPr>
            <w:r>
              <w:rPr>
                <w:rFonts w:ascii="Muli" w:eastAsia="Muli" w:hAnsi="Muli" w:cs="Muli"/>
                <w:sz w:val="20"/>
                <w:szCs w:val="20"/>
              </w:rPr>
              <w:t>The ‘I Can’ statement details use of the three dimensions students will use in this Driving Question. “I can… c</w:t>
            </w:r>
            <w:r>
              <w:rPr>
                <w:rFonts w:ascii="Muli" w:eastAsia="Muli" w:hAnsi="Muli" w:cs="Muli"/>
                <w:sz w:val="20"/>
                <w:szCs w:val="20"/>
              </w:rPr>
              <w:t>reate models to show my understanding of genes and chromosomes.” (</w:t>
            </w:r>
            <w:r>
              <w:rPr>
                <w:rFonts w:ascii="Muli" w:eastAsia="Muli" w:hAnsi="Muli" w:cs="Muli"/>
                <w:b/>
                <w:color w:val="FF126D"/>
                <w:sz w:val="20"/>
                <w:szCs w:val="20"/>
              </w:rPr>
              <w:t>DQ2 TB p. 50</w:t>
            </w:r>
            <w:r>
              <w:rPr>
                <w:rFonts w:ascii="Muli" w:eastAsia="Muli" w:hAnsi="Muli" w:cs="Muli"/>
                <w:sz w:val="20"/>
                <w:szCs w:val="20"/>
              </w:rPr>
              <w:t>)</w:t>
            </w:r>
          </w:p>
        </w:tc>
        <w:tc>
          <w:tcPr>
            <w:tcW w:w="4695" w:type="dxa"/>
          </w:tcPr>
          <w:p w14:paraId="0E7329D2"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9F2CD8F" wp14:editId="42C49E3F">
                  <wp:extent cx="2376488" cy="3599424"/>
                  <wp:effectExtent l="0" t="0" r="0" b="0"/>
                  <wp:docPr id="7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6"/>
                          <a:srcRect/>
                          <a:stretch>
                            <a:fillRect/>
                          </a:stretch>
                        </pic:blipFill>
                        <pic:spPr>
                          <a:xfrm>
                            <a:off x="0" y="0"/>
                            <a:ext cx="2376488" cy="3599424"/>
                          </a:xfrm>
                          <a:prstGeom prst="rect">
                            <a:avLst/>
                          </a:prstGeom>
                          <a:ln/>
                        </pic:spPr>
                      </pic:pic>
                    </a:graphicData>
                  </a:graphic>
                </wp:inline>
              </w:drawing>
            </w:r>
          </w:p>
          <w:p w14:paraId="7318096B"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 TB p. 50</w:t>
            </w:r>
          </w:p>
        </w:tc>
      </w:tr>
      <w:tr w:rsidR="00456479" w14:paraId="774C3784" w14:textId="77777777">
        <w:trPr>
          <w:trHeight w:val="1380"/>
        </w:trPr>
        <w:tc>
          <w:tcPr>
            <w:tcW w:w="9405" w:type="dxa"/>
          </w:tcPr>
          <w:p w14:paraId="1761E17B" w14:textId="77777777" w:rsidR="00456479" w:rsidRDefault="00267ACA">
            <w:pPr>
              <w:pStyle w:val="normal0"/>
              <w:numPr>
                <w:ilvl w:val="0"/>
                <w:numId w:val="3"/>
              </w:numPr>
              <w:rPr>
                <w:rFonts w:ascii="Muli" w:eastAsia="Muli" w:hAnsi="Muli" w:cs="Muli"/>
                <w:sz w:val="20"/>
                <w:szCs w:val="20"/>
              </w:rPr>
            </w:pPr>
            <w:r>
              <w:rPr>
                <w:rFonts w:ascii="Muli" w:eastAsia="Muli" w:hAnsi="Muli" w:cs="Muli"/>
                <w:sz w:val="20"/>
                <w:szCs w:val="20"/>
              </w:rPr>
              <w:t xml:space="preserve">The teacher uses a Meta-Think-Aloud to show how a reader might figure out the meaning of the word </w:t>
            </w:r>
            <w:r>
              <w:rPr>
                <w:rFonts w:ascii="Muli" w:eastAsia="Muli" w:hAnsi="Muli" w:cs="Muli"/>
                <w:i/>
                <w:sz w:val="20"/>
                <w:szCs w:val="20"/>
              </w:rPr>
              <w:t>gestation</w:t>
            </w:r>
            <w:r>
              <w:rPr>
                <w:rFonts w:ascii="Muli" w:eastAsia="Muli" w:hAnsi="Muli" w:cs="Muli"/>
                <w:sz w:val="20"/>
                <w:szCs w:val="20"/>
              </w:rPr>
              <w:t xml:space="preserve"> (</w:t>
            </w:r>
            <w:r>
              <w:rPr>
                <w:rFonts w:ascii="Muli" w:eastAsia="Muli" w:hAnsi="Muli" w:cs="Muli"/>
                <w:b/>
                <w:color w:val="FF126D"/>
                <w:sz w:val="20"/>
                <w:szCs w:val="20"/>
              </w:rPr>
              <w:t>DQ1L7 TE p. 59</w:t>
            </w:r>
            <w:r>
              <w:rPr>
                <w:rFonts w:ascii="Muli" w:eastAsia="Muli" w:hAnsi="Muli" w:cs="Muli"/>
                <w:sz w:val="20"/>
                <w:szCs w:val="20"/>
              </w:rPr>
              <w:t>).</w:t>
            </w:r>
          </w:p>
        </w:tc>
        <w:tc>
          <w:tcPr>
            <w:tcW w:w="4695" w:type="dxa"/>
          </w:tcPr>
          <w:p w14:paraId="2113FBA2" w14:textId="77777777" w:rsidR="00456479" w:rsidRDefault="00267ACA">
            <w:pPr>
              <w:pStyle w:val="normal0"/>
              <w:ind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0BF7B2AD" wp14:editId="388E5DE1">
                  <wp:extent cx="2805113" cy="1411547"/>
                  <wp:effectExtent l="12700" t="12700" r="12700" b="12700"/>
                  <wp:docPr id="6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2805113" cy="1411547"/>
                          </a:xfrm>
                          <a:prstGeom prst="rect">
                            <a:avLst/>
                          </a:prstGeom>
                          <a:ln w="12700">
                            <a:solidFill>
                              <a:srgbClr val="CCCCCC"/>
                            </a:solidFill>
                            <a:prstDash val="solid"/>
                          </a:ln>
                        </pic:spPr>
                      </pic:pic>
                    </a:graphicData>
                  </a:graphic>
                </wp:inline>
              </w:drawing>
            </w:r>
          </w:p>
          <w:p w14:paraId="16A9486D"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DQ1L7 TE p. 59</w:t>
            </w:r>
          </w:p>
        </w:tc>
      </w:tr>
      <w:tr w:rsidR="00456479" w14:paraId="5B2F5DF1" w14:textId="77777777">
        <w:trPr>
          <w:trHeight w:val="1560"/>
        </w:trPr>
        <w:tc>
          <w:tcPr>
            <w:tcW w:w="9405" w:type="dxa"/>
          </w:tcPr>
          <w:p w14:paraId="41FAAC74"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lastRenderedPageBreak/>
              <w:t xml:space="preserve">Students consider how the evidence they collected provided scientific reasoning to support their claim, and, if applicable, explain why they revised their claim </w:t>
            </w:r>
            <w:r>
              <w:rPr>
                <w:rFonts w:ascii="Muli" w:eastAsia="Muli" w:hAnsi="Muli" w:cs="Muli"/>
                <w:b/>
                <w:color w:val="FF126D"/>
                <w:sz w:val="20"/>
                <w:szCs w:val="20"/>
              </w:rPr>
              <w:t>(DQ1L5 TB p. 22)</w:t>
            </w:r>
            <w:r>
              <w:rPr>
                <w:rFonts w:ascii="Muli" w:eastAsia="Muli" w:hAnsi="Muli" w:cs="Muli"/>
                <w:sz w:val="20"/>
                <w:szCs w:val="20"/>
              </w:rPr>
              <w:t>.</w:t>
            </w:r>
          </w:p>
        </w:tc>
        <w:tc>
          <w:tcPr>
            <w:tcW w:w="4695" w:type="dxa"/>
          </w:tcPr>
          <w:p w14:paraId="48B6AE63" w14:textId="77777777" w:rsidR="00456479" w:rsidRDefault="00267ACA">
            <w:pPr>
              <w:pStyle w:val="normal0"/>
              <w:ind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48B46212" wp14:editId="4B232481">
                  <wp:extent cx="2757488" cy="698210"/>
                  <wp:effectExtent l="0" t="0" r="0" b="0"/>
                  <wp:docPr id="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9"/>
                          <a:srcRect/>
                          <a:stretch>
                            <a:fillRect/>
                          </a:stretch>
                        </pic:blipFill>
                        <pic:spPr>
                          <a:xfrm>
                            <a:off x="0" y="0"/>
                            <a:ext cx="2757488" cy="698210"/>
                          </a:xfrm>
                          <a:prstGeom prst="rect">
                            <a:avLst/>
                          </a:prstGeom>
                          <a:ln/>
                        </pic:spPr>
                      </pic:pic>
                    </a:graphicData>
                  </a:graphic>
                </wp:inline>
              </w:drawing>
            </w:r>
          </w:p>
          <w:p w14:paraId="234CFA69"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DQ1L5 TB p. 22</w:t>
            </w:r>
          </w:p>
        </w:tc>
      </w:tr>
      <w:tr w:rsidR="00456479" w14:paraId="5C5D43E9" w14:textId="77777777">
        <w:trPr>
          <w:trHeight w:val="2640"/>
        </w:trPr>
        <w:tc>
          <w:tcPr>
            <w:tcW w:w="9405" w:type="dxa"/>
            <w:vMerge w:val="restart"/>
          </w:tcPr>
          <w:p w14:paraId="4333D18C" w14:textId="77777777" w:rsidR="00456479" w:rsidRDefault="00456479">
            <w:pPr>
              <w:pStyle w:val="normal0"/>
              <w:rPr>
                <w:rFonts w:ascii="Muli" w:eastAsia="Muli" w:hAnsi="Muli" w:cs="Muli"/>
                <w:b/>
                <w:color w:val="FF126D"/>
                <w:sz w:val="20"/>
                <w:szCs w:val="20"/>
              </w:rPr>
            </w:pPr>
          </w:p>
          <w:p w14:paraId="35FAD063"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t xml:space="preserve">Students revise their model of how genes and traits are passed from butterfly parents to offspring, or describe a way they could change their model </w:t>
            </w:r>
            <w:r>
              <w:rPr>
                <w:rFonts w:ascii="Muli" w:eastAsia="Muli" w:hAnsi="Muli" w:cs="Muli"/>
                <w:b/>
                <w:color w:val="FF126D"/>
                <w:sz w:val="20"/>
                <w:szCs w:val="20"/>
              </w:rPr>
              <w:t>(DQ2L8 TB p. 73)</w:t>
            </w:r>
            <w:r>
              <w:rPr>
                <w:rFonts w:ascii="Muli" w:eastAsia="Muli" w:hAnsi="Muli" w:cs="Muli"/>
                <w:sz w:val="20"/>
                <w:szCs w:val="20"/>
              </w:rPr>
              <w:t>.</w:t>
            </w:r>
          </w:p>
        </w:tc>
        <w:tc>
          <w:tcPr>
            <w:tcW w:w="4695" w:type="dxa"/>
            <w:vMerge w:val="restart"/>
          </w:tcPr>
          <w:p w14:paraId="72192859" w14:textId="77777777" w:rsidR="00456479" w:rsidRDefault="00267ACA">
            <w:pPr>
              <w:pStyle w:val="normal0"/>
              <w:ind w:firstLine="90"/>
              <w:rPr>
                <w:rFonts w:ascii="Muli" w:eastAsia="Muli" w:hAnsi="Muli" w:cs="Muli"/>
                <w:sz w:val="20"/>
                <w:szCs w:val="20"/>
              </w:rPr>
            </w:pPr>
            <w:r>
              <w:rPr>
                <w:rFonts w:ascii="Muli" w:eastAsia="Muli" w:hAnsi="Muli" w:cs="Muli"/>
                <w:noProof/>
                <w:sz w:val="20"/>
                <w:szCs w:val="20"/>
              </w:rPr>
              <w:drawing>
                <wp:inline distT="114300" distB="114300" distL="114300" distR="114300" wp14:anchorId="1E3C4C25" wp14:editId="0A41F4C5">
                  <wp:extent cx="2767013" cy="1135185"/>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767013" cy="1135185"/>
                          </a:xfrm>
                          <a:prstGeom prst="rect">
                            <a:avLst/>
                          </a:prstGeom>
                          <a:ln w="12700">
                            <a:solidFill>
                              <a:srgbClr val="CCCCCC"/>
                            </a:solidFill>
                            <a:prstDash val="solid"/>
                          </a:ln>
                        </pic:spPr>
                      </pic:pic>
                    </a:graphicData>
                  </a:graphic>
                </wp:inline>
              </w:drawing>
            </w:r>
          </w:p>
          <w:p w14:paraId="4A2DDBFD"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DQ2L8 TB p. 73</w:t>
            </w:r>
          </w:p>
        </w:tc>
      </w:tr>
      <w:tr w:rsidR="00456479" w14:paraId="33DFD134" w14:textId="77777777">
        <w:trPr>
          <w:trHeight w:val="295"/>
        </w:trPr>
        <w:tc>
          <w:tcPr>
            <w:tcW w:w="9405" w:type="dxa"/>
            <w:vMerge/>
          </w:tcPr>
          <w:p w14:paraId="01033B08" w14:textId="77777777" w:rsidR="00456479" w:rsidRDefault="00456479">
            <w:pPr>
              <w:pStyle w:val="normal0"/>
              <w:rPr>
                <w:rFonts w:ascii="Muli" w:eastAsia="Muli" w:hAnsi="Muli" w:cs="Muli"/>
                <w:b/>
                <w:color w:val="FF126D"/>
                <w:sz w:val="20"/>
                <w:szCs w:val="20"/>
              </w:rPr>
            </w:pPr>
          </w:p>
        </w:tc>
        <w:tc>
          <w:tcPr>
            <w:tcW w:w="4695" w:type="dxa"/>
            <w:vMerge/>
          </w:tcPr>
          <w:p w14:paraId="73FC5F45" w14:textId="77777777" w:rsidR="00456479" w:rsidRDefault="00456479">
            <w:pPr>
              <w:pStyle w:val="normal0"/>
              <w:rPr>
                <w:rFonts w:ascii="Muli" w:eastAsia="Muli" w:hAnsi="Muli" w:cs="Muli"/>
                <w:sz w:val="20"/>
                <w:szCs w:val="20"/>
              </w:rPr>
            </w:pPr>
          </w:p>
        </w:tc>
      </w:tr>
      <w:tr w:rsidR="00456479" w14:paraId="263B3194" w14:textId="77777777">
        <w:trPr>
          <w:trHeight w:val="295"/>
        </w:trPr>
        <w:tc>
          <w:tcPr>
            <w:tcW w:w="9405" w:type="dxa"/>
            <w:vMerge/>
          </w:tcPr>
          <w:p w14:paraId="2C6995ED" w14:textId="77777777" w:rsidR="00456479" w:rsidRDefault="00456479">
            <w:pPr>
              <w:pStyle w:val="normal0"/>
              <w:rPr>
                <w:rFonts w:ascii="Muli" w:eastAsia="Muli" w:hAnsi="Muli" w:cs="Muli"/>
                <w:b/>
                <w:color w:val="FF126D"/>
                <w:sz w:val="20"/>
                <w:szCs w:val="20"/>
              </w:rPr>
            </w:pPr>
          </w:p>
        </w:tc>
        <w:tc>
          <w:tcPr>
            <w:tcW w:w="4695" w:type="dxa"/>
            <w:vMerge/>
          </w:tcPr>
          <w:p w14:paraId="69A97D5C" w14:textId="77777777" w:rsidR="00456479" w:rsidRDefault="00456479">
            <w:pPr>
              <w:pStyle w:val="normal0"/>
              <w:rPr>
                <w:rFonts w:ascii="Muli" w:eastAsia="Muli" w:hAnsi="Muli" w:cs="Muli"/>
                <w:sz w:val="20"/>
                <w:szCs w:val="20"/>
              </w:rPr>
            </w:pPr>
          </w:p>
        </w:tc>
      </w:tr>
      <w:tr w:rsidR="00456479" w14:paraId="6095D5E2" w14:textId="77777777">
        <w:trPr>
          <w:trHeight w:val="295"/>
        </w:trPr>
        <w:tc>
          <w:tcPr>
            <w:tcW w:w="9405" w:type="dxa"/>
            <w:vMerge/>
          </w:tcPr>
          <w:p w14:paraId="47E9B79B" w14:textId="77777777" w:rsidR="00456479" w:rsidRDefault="00456479">
            <w:pPr>
              <w:pStyle w:val="normal0"/>
              <w:rPr>
                <w:rFonts w:ascii="Muli" w:eastAsia="Muli" w:hAnsi="Muli" w:cs="Muli"/>
                <w:b/>
                <w:color w:val="FF126D"/>
                <w:sz w:val="20"/>
                <w:szCs w:val="20"/>
              </w:rPr>
            </w:pPr>
          </w:p>
        </w:tc>
        <w:tc>
          <w:tcPr>
            <w:tcW w:w="4695" w:type="dxa"/>
            <w:vMerge/>
          </w:tcPr>
          <w:p w14:paraId="6C35A207" w14:textId="77777777" w:rsidR="00456479" w:rsidRDefault="00456479">
            <w:pPr>
              <w:pStyle w:val="normal0"/>
              <w:rPr>
                <w:rFonts w:ascii="Muli" w:eastAsia="Muli" w:hAnsi="Muli" w:cs="Muli"/>
                <w:sz w:val="20"/>
                <w:szCs w:val="20"/>
              </w:rPr>
            </w:pPr>
          </w:p>
        </w:tc>
      </w:tr>
      <w:tr w:rsidR="00456479" w14:paraId="1D2D9FC2" w14:textId="77777777" w:rsidTr="00ED15A9">
        <w:trPr>
          <w:trHeight w:val="7786"/>
        </w:trPr>
        <w:tc>
          <w:tcPr>
            <w:tcW w:w="9405" w:type="dxa"/>
          </w:tcPr>
          <w:p w14:paraId="6F3B3C4E"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lastRenderedPageBreak/>
              <w:t>Students edit or rewrite their explanation about how the dam has affected the lake sturgeon, using peer feedback to make their response stronger and clearer (</w:t>
            </w:r>
            <w:r>
              <w:rPr>
                <w:rFonts w:ascii="Muli" w:eastAsia="Muli" w:hAnsi="Muli" w:cs="Muli"/>
                <w:b/>
                <w:color w:val="FF126D"/>
                <w:sz w:val="20"/>
                <w:szCs w:val="20"/>
              </w:rPr>
              <w:t>DQ3L7 TB p. 128</w:t>
            </w:r>
            <w:r>
              <w:rPr>
                <w:rFonts w:ascii="Muli" w:eastAsia="Muli" w:hAnsi="Muli" w:cs="Muli"/>
                <w:sz w:val="20"/>
                <w:szCs w:val="20"/>
              </w:rPr>
              <w:t>).</w:t>
            </w:r>
          </w:p>
        </w:tc>
        <w:tc>
          <w:tcPr>
            <w:tcW w:w="4695" w:type="dxa"/>
          </w:tcPr>
          <w:p w14:paraId="4E856A2E"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F57EE6E" wp14:editId="0B62A2AB">
                  <wp:extent cx="2605088" cy="3336653"/>
                  <wp:effectExtent l="0" t="0" r="0" b="0"/>
                  <wp:docPr id="2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2605088" cy="3336653"/>
                          </a:xfrm>
                          <a:prstGeom prst="rect">
                            <a:avLst/>
                          </a:prstGeom>
                          <a:ln/>
                        </pic:spPr>
                      </pic:pic>
                    </a:graphicData>
                  </a:graphic>
                </wp:inline>
              </w:drawing>
            </w:r>
          </w:p>
          <w:p w14:paraId="6F474BA3" w14:textId="77777777" w:rsidR="00456479" w:rsidRDefault="00267ACA">
            <w:pPr>
              <w:pStyle w:val="normal0"/>
              <w:ind w:firstLine="90"/>
              <w:rPr>
                <w:rFonts w:ascii="Muli" w:eastAsia="Muli" w:hAnsi="Muli" w:cs="Muli"/>
                <w:sz w:val="20"/>
                <w:szCs w:val="20"/>
              </w:rPr>
            </w:pPr>
            <w:r>
              <w:rPr>
                <w:rFonts w:ascii="Muli" w:eastAsia="Muli" w:hAnsi="Muli" w:cs="Muli"/>
                <w:b/>
                <w:color w:val="FF126D"/>
                <w:sz w:val="20"/>
                <w:szCs w:val="20"/>
              </w:rPr>
              <w:t>DQ3L7 TB p. 128</w:t>
            </w:r>
          </w:p>
        </w:tc>
      </w:tr>
      <w:tr w:rsidR="00456479" w14:paraId="444D51D7" w14:textId="77777777">
        <w:trPr>
          <w:trHeight w:val="2520"/>
        </w:trPr>
        <w:tc>
          <w:tcPr>
            <w:tcW w:w="9405" w:type="dxa"/>
          </w:tcPr>
          <w:p w14:paraId="7A568C8C" w14:textId="77777777" w:rsidR="00456479" w:rsidRDefault="00267ACA">
            <w:pPr>
              <w:pStyle w:val="normal0"/>
              <w:numPr>
                <w:ilvl w:val="0"/>
                <w:numId w:val="1"/>
              </w:numPr>
              <w:contextualSpacing/>
              <w:rPr>
                <w:rFonts w:ascii="Muli" w:eastAsia="Muli" w:hAnsi="Muli" w:cs="Muli"/>
                <w:sz w:val="20"/>
                <w:szCs w:val="20"/>
              </w:rPr>
            </w:pPr>
            <w:r>
              <w:rPr>
                <w:rFonts w:ascii="Muli" w:eastAsia="Muli" w:hAnsi="Muli" w:cs="Muli"/>
                <w:sz w:val="20"/>
                <w:szCs w:val="20"/>
              </w:rPr>
              <w:t>Students reflect on the approach(es) they included in their conservation plan and explain their choice (</w:t>
            </w:r>
            <w:r>
              <w:rPr>
                <w:rFonts w:ascii="Muli" w:eastAsia="Muli" w:hAnsi="Muli" w:cs="Muli"/>
                <w:b/>
                <w:color w:val="FF126D"/>
                <w:sz w:val="20"/>
                <w:szCs w:val="20"/>
              </w:rPr>
              <w:t>DQ4L3 TB p. 143</w:t>
            </w:r>
            <w:r>
              <w:rPr>
                <w:rFonts w:ascii="Muli" w:eastAsia="Muli" w:hAnsi="Muli" w:cs="Muli"/>
                <w:sz w:val="20"/>
                <w:szCs w:val="20"/>
              </w:rPr>
              <w:t>).</w:t>
            </w:r>
          </w:p>
        </w:tc>
        <w:tc>
          <w:tcPr>
            <w:tcW w:w="4695" w:type="dxa"/>
          </w:tcPr>
          <w:p w14:paraId="655AC41A"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62073025" wp14:editId="48CED3DB">
                  <wp:extent cx="2762250" cy="1238250"/>
                  <wp:effectExtent l="12700" t="12700" r="12700" b="12700"/>
                  <wp:docPr id="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b="68058"/>
                          <a:stretch>
                            <a:fillRect/>
                          </a:stretch>
                        </pic:blipFill>
                        <pic:spPr>
                          <a:xfrm>
                            <a:off x="0" y="0"/>
                            <a:ext cx="2762250" cy="1238250"/>
                          </a:xfrm>
                          <a:prstGeom prst="rect">
                            <a:avLst/>
                          </a:prstGeom>
                          <a:ln w="12700">
                            <a:solidFill>
                              <a:srgbClr val="CCCCCC"/>
                            </a:solidFill>
                            <a:prstDash val="solid"/>
                          </a:ln>
                        </pic:spPr>
                      </pic:pic>
                    </a:graphicData>
                  </a:graphic>
                </wp:inline>
              </w:drawing>
            </w:r>
          </w:p>
          <w:p w14:paraId="6622135A"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DQ4L3 TB p. 143</w:t>
            </w:r>
          </w:p>
        </w:tc>
      </w:tr>
      <w:tr w:rsidR="00456479" w14:paraId="25765E3A" w14:textId="77777777">
        <w:trPr>
          <w:trHeight w:val="340"/>
        </w:trPr>
        <w:tc>
          <w:tcPr>
            <w:tcW w:w="9405" w:type="dxa"/>
            <w:shd w:val="clear" w:color="auto" w:fill="CCCCCC"/>
          </w:tcPr>
          <w:p w14:paraId="65497F64" w14:textId="77777777" w:rsidR="00456479" w:rsidRDefault="00267ACA">
            <w:pPr>
              <w:pStyle w:val="normal0"/>
              <w:spacing w:before="1"/>
              <w:ind w:left="180" w:right="633"/>
              <w:rPr>
                <w:rFonts w:ascii="Muli" w:eastAsia="Muli" w:hAnsi="Muli" w:cs="Muli"/>
                <w:sz w:val="20"/>
                <w:szCs w:val="20"/>
              </w:rPr>
            </w:pPr>
            <w:r>
              <w:rPr>
                <w:rFonts w:ascii="Muli" w:eastAsia="Muli" w:hAnsi="Muli" w:cs="Muli"/>
                <w:b/>
                <w:color w:val="1C1C1C"/>
                <w:sz w:val="20"/>
                <w:szCs w:val="20"/>
              </w:rPr>
              <w:lastRenderedPageBreak/>
              <w:t>SW 5: Equitable Learning Opportunities</w:t>
            </w:r>
          </w:p>
        </w:tc>
        <w:tc>
          <w:tcPr>
            <w:tcW w:w="4695" w:type="dxa"/>
            <w:shd w:val="clear" w:color="auto" w:fill="CCCCCC"/>
          </w:tcPr>
          <w:p w14:paraId="4FA91ACF" w14:textId="77777777" w:rsidR="00456479" w:rsidRDefault="00456479">
            <w:pPr>
              <w:pStyle w:val="normal0"/>
              <w:ind w:left="180"/>
              <w:rPr>
                <w:rFonts w:ascii="Muli" w:eastAsia="Muli" w:hAnsi="Muli" w:cs="Muli"/>
                <w:sz w:val="20"/>
                <w:szCs w:val="20"/>
              </w:rPr>
            </w:pPr>
          </w:p>
        </w:tc>
      </w:tr>
      <w:tr w:rsidR="00456479" w14:paraId="0881C47C" w14:textId="77777777">
        <w:trPr>
          <w:trHeight w:val="880"/>
        </w:trPr>
        <w:tc>
          <w:tcPr>
            <w:tcW w:w="14100" w:type="dxa"/>
            <w:gridSpan w:val="2"/>
            <w:shd w:val="clear" w:color="auto" w:fill="EFEFEF"/>
          </w:tcPr>
          <w:p w14:paraId="4909A78B" w14:textId="77777777" w:rsidR="00456479" w:rsidRDefault="00267ACA">
            <w:pPr>
              <w:pStyle w:val="normal0"/>
              <w:ind w:left="180"/>
              <w:rPr>
                <w:rFonts w:ascii="Muli" w:eastAsia="Muli" w:hAnsi="Muli" w:cs="Muli"/>
                <w:b/>
                <w:color w:val="2F5496"/>
                <w:sz w:val="20"/>
                <w:szCs w:val="20"/>
              </w:rPr>
            </w:pPr>
            <w:r>
              <w:rPr>
                <w:rFonts w:ascii="Muli" w:eastAsia="Muli" w:hAnsi="Muli" w:cs="Muli"/>
                <w:b/>
                <w:color w:val="2F5496"/>
                <w:sz w:val="20"/>
                <w:szCs w:val="20"/>
              </w:rPr>
              <w:t>The Student Work is High Quality (5) in terms of SW5</w:t>
            </w:r>
          </w:p>
          <w:p w14:paraId="126D5C7C" w14:textId="77777777" w:rsidR="00456479" w:rsidRDefault="00267ACA">
            <w:pPr>
              <w:pStyle w:val="normal0"/>
              <w:spacing w:before="1"/>
              <w:ind w:left="180" w:right="233"/>
              <w:rPr>
                <w:rFonts w:ascii="Muli" w:eastAsia="Muli" w:hAnsi="Muli" w:cs="Muli"/>
                <w:sz w:val="20"/>
                <w:szCs w:val="20"/>
              </w:rPr>
            </w:pPr>
            <w:r>
              <w:rPr>
                <w:rFonts w:ascii="Muli" w:eastAsia="Muli" w:hAnsi="Muli" w:cs="Muli"/>
                <w:sz w:val="20"/>
                <w:szCs w:val="20"/>
              </w:rPr>
              <w:t>Most learning experiences in materials are designed such that students can engage meaningfully in a variety of ways, with multiple access points, and with supports for students.</w:t>
            </w:r>
          </w:p>
        </w:tc>
      </w:tr>
      <w:tr w:rsidR="00456479" w14:paraId="20EFABAE" w14:textId="77777777">
        <w:trPr>
          <w:trHeight w:val="9120"/>
        </w:trPr>
        <w:tc>
          <w:tcPr>
            <w:tcW w:w="9405" w:type="dxa"/>
          </w:tcPr>
          <w:p w14:paraId="755B8ECD" w14:textId="77777777" w:rsidR="00456479" w:rsidRDefault="00267ACA">
            <w:pPr>
              <w:pStyle w:val="normal0"/>
              <w:ind w:right="150" w:firstLine="180"/>
              <w:rPr>
                <w:rFonts w:ascii="Muli" w:eastAsia="Muli" w:hAnsi="Muli" w:cs="Muli"/>
                <w:b/>
                <w:sz w:val="20"/>
                <w:szCs w:val="20"/>
              </w:rPr>
            </w:pPr>
            <w:r>
              <w:rPr>
                <w:rFonts w:ascii="Muli" w:eastAsia="Muli" w:hAnsi="Muli" w:cs="Muli"/>
                <w:b/>
                <w:color w:val="FF126D"/>
                <w:sz w:val="20"/>
                <w:szCs w:val="20"/>
              </w:rPr>
              <w:t>Evidence</w:t>
            </w:r>
          </w:p>
          <w:p w14:paraId="548252CC"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t xml:space="preserve">Integrated EL sidebars offer teachers guidance to support students’ </w:t>
            </w:r>
            <w:r>
              <w:rPr>
                <w:rFonts w:ascii="Muli" w:eastAsia="Muli" w:hAnsi="Muli" w:cs="Muli"/>
                <w:sz w:val="20"/>
                <w:szCs w:val="20"/>
              </w:rPr>
              <w:t>engagement with the material (</w:t>
            </w:r>
            <w:r>
              <w:rPr>
                <w:rFonts w:ascii="Muli" w:eastAsia="Muli" w:hAnsi="Muli" w:cs="Muli"/>
                <w:b/>
                <w:color w:val="FF126D"/>
                <w:sz w:val="20"/>
                <w:szCs w:val="20"/>
              </w:rPr>
              <w:t>DQ1L8 TE p. 67</w:t>
            </w:r>
            <w:r>
              <w:rPr>
                <w:rFonts w:ascii="Muli" w:eastAsia="Muli" w:hAnsi="Muli" w:cs="Muli"/>
                <w:sz w:val="20"/>
                <w:szCs w:val="20"/>
              </w:rPr>
              <w:t xml:space="preserve">, </w:t>
            </w:r>
            <w:r>
              <w:rPr>
                <w:rFonts w:ascii="Muli" w:eastAsia="Muli" w:hAnsi="Muli" w:cs="Muli"/>
                <w:b/>
                <w:color w:val="FF126D"/>
                <w:sz w:val="20"/>
                <w:szCs w:val="20"/>
              </w:rPr>
              <w:t>DQ2L3 p. 118,</w:t>
            </w:r>
            <w:r>
              <w:rPr>
                <w:rFonts w:ascii="Muli" w:eastAsia="Muli" w:hAnsi="Muli" w:cs="Muli"/>
                <w:sz w:val="20"/>
                <w:szCs w:val="20"/>
              </w:rPr>
              <w:t xml:space="preserve"> DQ2L11 TE p. 179, DQ3L5 TE p. 218, DQ4L2 TE p. 261).</w:t>
            </w:r>
          </w:p>
          <w:p w14:paraId="26AF2D8F" w14:textId="77777777" w:rsidR="00456479" w:rsidRDefault="00456479">
            <w:pPr>
              <w:pStyle w:val="normal0"/>
              <w:rPr>
                <w:rFonts w:ascii="Muli" w:eastAsia="Muli" w:hAnsi="Muli" w:cs="Muli"/>
                <w:b/>
                <w:sz w:val="20"/>
                <w:szCs w:val="20"/>
              </w:rPr>
            </w:pPr>
          </w:p>
        </w:tc>
        <w:tc>
          <w:tcPr>
            <w:tcW w:w="4695" w:type="dxa"/>
          </w:tcPr>
          <w:p w14:paraId="29738B6F"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41A25F49" wp14:editId="0D2E4E7C">
                  <wp:extent cx="2309813" cy="2083360"/>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2309813" cy="2083360"/>
                          </a:xfrm>
                          <a:prstGeom prst="rect">
                            <a:avLst/>
                          </a:prstGeom>
                          <a:ln/>
                        </pic:spPr>
                      </pic:pic>
                    </a:graphicData>
                  </a:graphic>
                </wp:inline>
              </w:drawing>
            </w:r>
          </w:p>
          <w:p w14:paraId="50B8FBE9"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DQ1L8 TE p. 67</w:t>
            </w:r>
          </w:p>
          <w:p w14:paraId="63A50AA2" w14:textId="77777777" w:rsidR="00456479" w:rsidRDefault="00456479">
            <w:pPr>
              <w:pStyle w:val="normal0"/>
              <w:ind w:left="90"/>
              <w:rPr>
                <w:rFonts w:ascii="Muli" w:eastAsia="Muli" w:hAnsi="Muli" w:cs="Muli"/>
                <w:b/>
                <w:color w:val="FF126D"/>
                <w:sz w:val="20"/>
                <w:szCs w:val="20"/>
              </w:rPr>
            </w:pPr>
          </w:p>
          <w:p w14:paraId="4D95E5C2"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485B227" wp14:editId="58106A78">
                  <wp:extent cx="2405063" cy="2983203"/>
                  <wp:effectExtent l="0" t="0" r="0" b="0"/>
                  <wp:docPr id="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2405063" cy="2983203"/>
                          </a:xfrm>
                          <a:prstGeom prst="rect">
                            <a:avLst/>
                          </a:prstGeom>
                          <a:ln/>
                        </pic:spPr>
                      </pic:pic>
                    </a:graphicData>
                  </a:graphic>
                </wp:inline>
              </w:drawing>
            </w:r>
          </w:p>
          <w:p w14:paraId="0A9C1574" w14:textId="77777777" w:rsidR="00456479" w:rsidRDefault="00267ACA">
            <w:pPr>
              <w:pStyle w:val="normal0"/>
              <w:ind w:left="180"/>
              <w:rPr>
                <w:rFonts w:ascii="Muli" w:eastAsia="Muli" w:hAnsi="Muli" w:cs="Muli"/>
                <w:b/>
                <w:color w:val="FF126D"/>
                <w:sz w:val="20"/>
                <w:szCs w:val="20"/>
              </w:rPr>
            </w:pPr>
            <w:r>
              <w:rPr>
                <w:rFonts w:ascii="Muli" w:eastAsia="Muli" w:hAnsi="Muli" w:cs="Muli"/>
                <w:b/>
                <w:color w:val="FF126D"/>
                <w:sz w:val="20"/>
                <w:szCs w:val="20"/>
              </w:rPr>
              <w:t>DQ2L3 p. 118</w:t>
            </w:r>
          </w:p>
        </w:tc>
      </w:tr>
      <w:tr w:rsidR="00456479" w14:paraId="55044B98" w14:textId="77777777">
        <w:trPr>
          <w:trHeight w:val="4860"/>
        </w:trPr>
        <w:tc>
          <w:tcPr>
            <w:tcW w:w="9405" w:type="dxa"/>
          </w:tcPr>
          <w:p w14:paraId="2599EFF4"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lastRenderedPageBreak/>
              <w:t>Integrated Cultural Connection sidebars offer teachers guidance to engage students of all backgrounds and abilities (</w:t>
            </w:r>
            <w:r>
              <w:rPr>
                <w:rFonts w:ascii="Muli" w:eastAsia="Muli" w:hAnsi="Muli" w:cs="Muli"/>
                <w:b/>
                <w:color w:val="FF126D"/>
                <w:sz w:val="20"/>
                <w:szCs w:val="20"/>
              </w:rPr>
              <w:t>DQ1L2 TE p. 20</w:t>
            </w:r>
            <w:r>
              <w:rPr>
                <w:rFonts w:ascii="Muli" w:eastAsia="Muli" w:hAnsi="Muli" w:cs="Muli"/>
                <w:sz w:val="20"/>
                <w:szCs w:val="20"/>
              </w:rPr>
              <w:t xml:space="preserve">, </w:t>
            </w:r>
            <w:r>
              <w:rPr>
                <w:rFonts w:ascii="Muli" w:eastAsia="Muli" w:hAnsi="Muli" w:cs="Muli"/>
                <w:b/>
                <w:color w:val="FF126D"/>
                <w:sz w:val="20"/>
                <w:szCs w:val="20"/>
              </w:rPr>
              <w:t>DQ1L6 TE p. 50</w:t>
            </w:r>
            <w:r>
              <w:rPr>
                <w:rFonts w:ascii="Muli" w:eastAsia="Muli" w:hAnsi="Muli" w:cs="Muli"/>
                <w:sz w:val="20"/>
                <w:szCs w:val="20"/>
              </w:rPr>
              <w:t>, DQ1L9 TE p. 76, DQ2L7 TE p. 149, DQ4L1 TE p. 252).</w:t>
            </w:r>
          </w:p>
        </w:tc>
        <w:tc>
          <w:tcPr>
            <w:tcW w:w="4695" w:type="dxa"/>
          </w:tcPr>
          <w:p w14:paraId="1D9730E5"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8D15171" wp14:editId="612E1957">
                  <wp:extent cx="2619375" cy="2771775"/>
                  <wp:effectExtent l="0" t="0" r="0" b="0"/>
                  <wp:docPr id="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2619375" cy="2771775"/>
                          </a:xfrm>
                          <a:prstGeom prst="rect">
                            <a:avLst/>
                          </a:prstGeom>
                          <a:ln/>
                        </pic:spPr>
                      </pic:pic>
                    </a:graphicData>
                  </a:graphic>
                </wp:inline>
              </w:drawing>
            </w:r>
          </w:p>
          <w:p w14:paraId="4C3B7F15"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DQ1L2 TE p. 20</w:t>
            </w:r>
          </w:p>
          <w:p w14:paraId="218723D2" w14:textId="77777777" w:rsidR="00456479" w:rsidRDefault="00456479">
            <w:pPr>
              <w:pStyle w:val="normal0"/>
              <w:ind w:left="90"/>
              <w:rPr>
                <w:rFonts w:ascii="Muli" w:eastAsia="Muli" w:hAnsi="Muli" w:cs="Muli"/>
                <w:b/>
                <w:color w:val="FF126D"/>
                <w:sz w:val="20"/>
                <w:szCs w:val="20"/>
              </w:rPr>
            </w:pPr>
          </w:p>
          <w:p w14:paraId="5875E4F0" w14:textId="77777777" w:rsidR="00456479" w:rsidRDefault="00267AC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08F0EC6" wp14:editId="4B36988C">
                  <wp:extent cx="2490788" cy="286600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2490788" cy="2866002"/>
                          </a:xfrm>
                          <a:prstGeom prst="rect">
                            <a:avLst/>
                          </a:prstGeom>
                          <a:ln/>
                        </pic:spPr>
                      </pic:pic>
                    </a:graphicData>
                  </a:graphic>
                </wp:inline>
              </w:drawing>
            </w:r>
          </w:p>
          <w:p w14:paraId="3DDCA720"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DQ1L6 TE p. 50</w:t>
            </w:r>
          </w:p>
        </w:tc>
      </w:tr>
      <w:tr w:rsidR="00456479" w14:paraId="08C331DF" w14:textId="77777777">
        <w:trPr>
          <w:trHeight w:val="2880"/>
        </w:trPr>
        <w:tc>
          <w:tcPr>
            <w:tcW w:w="9405" w:type="dxa"/>
          </w:tcPr>
          <w:p w14:paraId="20D4DF50"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lastRenderedPageBreak/>
              <w:t>Integrated Special Needs sidebars offer teachers guidance to support students of all abilities as they participation in class activities and grasp key concepts (</w:t>
            </w:r>
            <w:r>
              <w:rPr>
                <w:rFonts w:ascii="Muli" w:eastAsia="Muli" w:hAnsi="Muli" w:cs="Muli"/>
                <w:b/>
                <w:color w:val="FF126D"/>
                <w:sz w:val="20"/>
                <w:szCs w:val="20"/>
              </w:rPr>
              <w:t>DQ2L7 TE p. 151</w:t>
            </w:r>
            <w:r>
              <w:rPr>
                <w:rFonts w:ascii="Muli" w:eastAsia="Muli" w:hAnsi="Muli" w:cs="Muli"/>
                <w:sz w:val="20"/>
                <w:szCs w:val="20"/>
              </w:rPr>
              <w:t>, DQ2L8 TE p. 157, DQ3L1 TE p. 193, DQ3L3 TE p. 207, DQ4L4 TE p. 275).</w:t>
            </w:r>
          </w:p>
        </w:tc>
        <w:tc>
          <w:tcPr>
            <w:tcW w:w="4695" w:type="dxa"/>
          </w:tcPr>
          <w:p w14:paraId="2187B26B"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8870BCE" wp14:editId="3FDC8240">
                  <wp:extent cx="2476500" cy="152400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2476500" cy="1524000"/>
                          </a:xfrm>
                          <a:prstGeom prst="rect">
                            <a:avLst/>
                          </a:prstGeom>
                          <a:ln/>
                        </pic:spPr>
                      </pic:pic>
                    </a:graphicData>
                  </a:graphic>
                </wp:inline>
              </w:drawing>
            </w:r>
          </w:p>
          <w:p w14:paraId="6DD468BE" w14:textId="77777777" w:rsidR="00456479" w:rsidRDefault="00267ACA">
            <w:pPr>
              <w:pStyle w:val="normal0"/>
              <w:ind w:left="90"/>
              <w:rPr>
                <w:rFonts w:ascii="Muli" w:eastAsia="Muli" w:hAnsi="Muli" w:cs="Muli"/>
                <w:b/>
                <w:color w:val="FF126D"/>
                <w:sz w:val="20"/>
                <w:szCs w:val="20"/>
              </w:rPr>
            </w:pPr>
            <w:r>
              <w:rPr>
                <w:rFonts w:ascii="Muli" w:eastAsia="Muli" w:hAnsi="Muli" w:cs="Muli"/>
                <w:b/>
                <w:color w:val="FF126D"/>
                <w:sz w:val="20"/>
                <w:szCs w:val="20"/>
              </w:rPr>
              <w:t>DQ2L7 T</w:t>
            </w:r>
            <w:r>
              <w:rPr>
                <w:rFonts w:ascii="Muli" w:eastAsia="Muli" w:hAnsi="Muli" w:cs="Muli"/>
                <w:b/>
                <w:color w:val="FF126D"/>
                <w:sz w:val="20"/>
                <w:szCs w:val="20"/>
              </w:rPr>
              <w:t>E p. 151</w:t>
            </w:r>
          </w:p>
        </w:tc>
      </w:tr>
      <w:tr w:rsidR="00456479" w14:paraId="14B1743E" w14:textId="77777777">
        <w:trPr>
          <w:trHeight w:val="3180"/>
        </w:trPr>
        <w:tc>
          <w:tcPr>
            <w:tcW w:w="9405" w:type="dxa"/>
          </w:tcPr>
          <w:p w14:paraId="435CDA67" w14:textId="77777777" w:rsidR="00456479" w:rsidRDefault="00267ACA">
            <w:pPr>
              <w:pStyle w:val="normal0"/>
              <w:numPr>
                <w:ilvl w:val="0"/>
                <w:numId w:val="13"/>
              </w:numPr>
              <w:contextualSpacing/>
              <w:rPr>
                <w:rFonts w:ascii="Muli" w:eastAsia="Muli" w:hAnsi="Muli" w:cs="Muli"/>
                <w:sz w:val="20"/>
                <w:szCs w:val="20"/>
              </w:rPr>
            </w:pPr>
            <w:r>
              <w:rPr>
                <w:rFonts w:ascii="Muli" w:eastAsia="Muli" w:hAnsi="Muli" w:cs="Muli"/>
                <w:sz w:val="20"/>
                <w:szCs w:val="20"/>
              </w:rPr>
              <w:t>Integrated Challenges interspersed throughout the TB support GATE students who have met the learning goals (</w:t>
            </w:r>
            <w:r>
              <w:rPr>
                <w:rFonts w:ascii="Muli" w:eastAsia="Muli" w:hAnsi="Muli" w:cs="Muli"/>
                <w:b/>
                <w:color w:val="FF126D"/>
                <w:sz w:val="20"/>
                <w:szCs w:val="20"/>
              </w:rPr>
              <w:t>DQ1L3 TB p. 11</w:t>
            </w:r>
            <w:r>
              <w:rPr>
                <w:rFonts w:ascii="Muli" w:eastAsia="Muli" w:hAnsi="Muli" w:cs="Muli"/>
                <w:sz w:val="20"/>
                <w:szCs w:val="20"/>
              </w:rPr>
              <w:t xml:space="preserve">, </w:t>
            </w:r>
            <w:r>
              <w:rPr>
                <w:rFonts w:ascii="Muli" w:eastAsia="Muli" w:hAnsi="Muli" w:cs="Muli"/>
                <w:b/>
                <w:color w:val="FF126D"/>
                <w:sz w:val="20"/>
                <w:szCs w:val="20"/>
              </w:rPr>
              <w:t>DQ2L3 TB p. 59</w:t>
            </w:r>
            <w:r>
              <w:rPr>
                <w:rFonts w:ascii="Muli" w:eastAsia="Muli" w:hAnsi="Muli" w:cs="Muli"/>
                <w:sz w:val="20"/>
                <w:szCs w:val="20"/>
              </w:rPr>
              <w:t>, DQ2L5 TB p. 65, DQ2L7 TB p. 71, DQ3L3 TB p. 100).</w:t>
            </w:r>
          </w:p>
        </w:tc>
        <w:tc>
          <w:tcPr>
            <w:tcW w:w="4695" w:type="dxa"/>
          </w:tcPr>
          <w:p w14:paraId="5C338991"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097DB5BC" wp14:editId="36B190AA">
                  <wp:extent cx="2538413" cy="1645592"/>
                  <wp:effectExtent l="0" t="0" r="0" b="0"/>
                  <wp:docPr id="5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6"/>
                          <a:srcRect/>
                          <a:stretch>
                            <a:fillRect/>
                          </a:stretch>
                        </pic:blipFill>
                        <pic:spPr>
                          <a:xfrm>
                            <a:off x="0" y="0"/>
                            <a:ext cx="2538413" cy="1645592"/>
                          </a:xfrm>
                          <a:prstGeom prst="rect">
                            <a:avLst/>
                          </a:prstGeom>
                          <a:ln/>
                        </pic:spPr>
                      </pic:pic>
                    </a:graphicData>
                  </a:graphic>
                </wp:inline>
              </w:drawing>
            </w:r>
          </w:p>
          <w:p w14:paraId="40316BF3" w14:textId="77777777" w:rsidR="00456479" w:rsidRDefault="00267ACA">
            <w:pPr>
              <w:pStyle w:val="normal0"/>
              <w:ind w:left="180"/>
              <w:rPr>
                <w:rFonts w:ascii="Muli" w:eastAsia="Muli" w:hAnsi="Muli" w:cs="Muli"/>
                <w:b/>
                <w:color w:val="FF126D"/>
                <w:sz w:val="20"/>
                <w:szCs w:val="20"/>
              </w:rPr>
            </w:pPr>
            <w:r>
              <w:rPr>
                <w:rFonts w:ascii="Muli" w:eastAsia="Muli" w:hAnsi="Muli" w:cs="Muli"/>
                <w:b/>
                <w:color w:val="FF126D"/>
                <w:sz w:val="20"/>
                <w:szCs w:val="20"/>
              </w:rPr>
              <w:t>DQ1L3 TB p. 11</w:t>
            </w:r>
          </w:p>
          <w:p w14:paraId="43070ED0" w14:textId="77777777" w:rsidR="00456479" w:rsidRDefault="00456479">
            <w:pPr>
              <w:pStyle w:val="normal0"/>
              <w:ind w:left="180"/>
              <w:rPr>
                <w:rFonts w:ascii="Muli" w:eastAsia="Muli" w:hAnsi="Muli" w:cs="Muli"/>
                <w:b/>
                <w:color w:val="FF126D"/>
                <w:sz w:val="20"/>
                <w:szCs w:val="20"/>
              </w:rPr>
            </w:pPr>
          </w:p>
          <w:p w14:paraId="00D00A9F" w14:textId="77777777" w:rsidR="00456479" w:rsidRDefault="00267AC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55079968" wp14:editId="1F9507D8">
                  <wp:extent cx="2595563" cy="2359602"/>
                  <wp:effectExtent l="0" t="0" r="0" b="0"/>
                  <wp:docPr id="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2595563" cy="2359602"/>
                          </a:xfrm>
                          <a:prstGeom prst="rect">
                            <a:avLst/>
                          </a:prstGeom>
                          <a:ln/>
                        </pic:spPr>
                      </pic:pic>
                    </a:graphicData>
                  </a:graphic>
                </wp:inline>
              </w:drawing>
            </w:r>
          </w:p>
          <w:p w14:paraId="48342D0F" w14:textId="77777777" w:rsidR="00456479" w:rsidRDefault="00267ACA">
            <w:pPr>
              <w:pStyle w:val="normal0"/>
              <w:ind w:left="90"/>
              <w:rPr>
                <w:rFonts w:ascii="Muli" w:eastAsia="Muli" w:hAnsi="Muli" w:cs="Muli"/>
                <w:sz w:val="20"/>
                <w:szCs w:val="20"/>
              </w:rPr>
            </w:pPr>
            <w:r>
              <w:rPr>
                <w:rFonts w:ascii="Muli" w:eastAsia="Muli" w:hAnsi="Muli" w:cs="Muli"/>
                <w:b/>
                <w:color w:val="FF126D"/>
                <w:sz w:val="20"/>
                <w:szCs w:val="20"/>
              </w:rPr>
              <w:t>DQ2L3 TB p. 59</w:t>
            </w:r>
          </w:p>
        </w:tc>
      </w:tr>
      <w:tr w:rsidR="00456479" w14:paraId="1E60B58B" w14:textId="77777777">
        <w:trPr>
          <w:trHeight w:val="1040"/>
        </w:trPr>
        <w:tc>
          <w:tcPr>
            <w:tcW w:w="9405" w:type="dxa"/>
          </w:tcPr>
          <w:p w14:paraId="76C51AA7" w14:textId="77777777" w:rsidR="00456479" w:rsidRDefault="00267ACA">
            <w:pPr>
              <w:pStyle w:val="normal0"/>
              <w:numPr>
                <w:ilvl w:val="0"/>
                <w:numId w:val="19"/>
              </w:numPr>
              <w:contextualSpacing/>
              <w:rPr>
                <w:rFonts w:ascii="Muli" w:eastAsia="Muli" w:hAnsi="Muli" w:cs="Muli"/>
                <w:sz w:val="20"/>
                <w:szCs w:val="20"/>
              </w:rPr>
            </w:pPr>
            <w:r>
              <w:rPr>
                <w:rFonts w:ascii="Muli" w:eastAsia="Muli" w:hAnsi="Muli" w:cs="Muli"/>
                <w:sz w:val="20"/>
                <w:szCs w:val="20"/>
              </w:rPr>
              <w:lastRenderedPageBreak/>
              <w:t xml:space="preserve">Videos like </w:t>
            </w:r>
            <w:r>
              <w:rPr>
                <w:rFonts w:ascii="Muli" w:eastAsia="Muli" w:hAnsi="Muli" w:cs="Muli"/>
                <w:b/>
                <w:color w:val="FF126D"/>
                <w:sz w:val="20"/>
                <w:szCs w:val="20"/>
              </w:rPr>
              <w:t>Courtship Rituals: Puffer Fish</w:t>
            </w:r>
            <w:r>
              <w:rPr>
                <w:rFonts w:ascii="Muli" w:eastAsia="Muli" w:hAnsi="Muli" w:cs="Muli"/>
                <w:sz w:val="20"/>
                <w:szCs w:val="20"/>
              </w:rPr>
              <w:t xml:space="preserve"> (DQ1L3), Whitebark Pine Tree (DQ1L9), </w:t>
            </w:r>
            <w:r>
              <w:rPr>
                <w:rFonts w:ascii="Muli" w:eastAsia="Muli" w:hAnsi="Muli" w:cs="Muli"/>
                <w:b/>
                <w:color w:val="FF126D"/>
                <w:sz w:val="20"/>
                <w:szCs w:val="20"/>
              </w:rPr>
              <w:t>Asexual Reproduction in Animals</w:t>
            </w:r>
            <w:r>
              <w:rPr>
                <w:rFonts w:ascii="Muli" w:eastAsia="Muli" w:hAnsi="Muli" w:cs="Muli"/>
                <w:sz w:val="20"/>
                <w:szCs w:val="20"/>
              </w:rPr>
              <w:t xml:space="preserve"> (DQ2L9), and Saving Sea Turtles (DQ4L3) bring phenomena and concepts to life for all students.</w:t>
            </w:r>
          </w:p>
        </w:tc>
        <w:tc>
          <w:tcPr>
            <w:tcW w:w="4695" w:type="dxa"/>
          </w:tcPr>
          <w:p w14:paraId="029C785A" w14:textId="77777777" w:rsidR="00456479" w:rsidRDefault="00267ACA">
            <w:pPr>
              <w:pStyle w:val="normal0"/>
              <w:ind w:right="383"/>
              <w:rPr>
                <w:rFonts w:ascii="Muli" w:eastAsia="Muli" w:hAnsi="Muli" w:cs="Muli"/>
                <w:b/>
                <w:color w:val="FF126D"/>
                <w:sz w:val="20"/>
                <w:szCs w:val="20"/>
              </w:rPr>
            </w:pPr>
            <w:r>
              <w:rPr>
                <w:rFonts w:ascii="Muli" w:eastAsia="Muli" w:hAnsi="Muli" w:cs="Muli"/>
                <w:noProof/>
                <w:sz w:val="20"/>
                <w:szCs w:val="20"/>
              </w:rPr>
              <w:drawing>
                <wp:inline distT="114300" distB="114300" distL="114300" distR="114300" wp14:anchorId="335AB3E0" wp14:editId="39B35A03">
                  <wp:extent cx="2338388" cy="186708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2338388" cy="1867085"/>
                          </a:xfrm>
                          <a:prstGeom prst="rect">
                            <a:avLst/>
                          </a:prstGeom>
                          <a:ln/>
                        </pic:spPr>
                      </pic:pic>
                    </a:graphicData>
                  </a:graphic>
                </wp:inline>
              </w:drawing>
            </w:r>
            <w:r>
              <w:rPr>
                <w:rFonts w:ascii="Muli" w:eastAsia="Muli" w:hAnsi="Muli" w:cs="Muli"/>
                <w:b/>
                <w:color w:val="FF126D"/>
                <w:sz w:val="20"/>
                <w:szCs w:val="20"/>
              </w:rPr>
              <w:t>Courtship Rituals: Puffer Fish</w:t>
            </w:r>
          </w:p>
          <w:p w14:paraId="47C1B597" w14:textId="77777777" w:rsidR="00456479" w:rsidRDefault="00267ACA">
            <w:pPr>
              <w:pStyle w:val="normal0"/>
              <w:ind w:right="383"/>
              <w:rPr>
                <w:rFonts w:ascii="Muli" w:eastAsia="Muli" w:hAnsi="Muli" w:cs="Muli"/>
                <w:sz w:val="20"/>
                <w:szCs w:val="20"/>
              </w:rPr>
            </w:pPr>
            <w:r>
              <w:rPr>
                <w:rFonts w:ascii="Muli" w:eastAsia="Muli" w:hAnsi="Muli" w:cs="Muli"/>
                <w:noProof/>
                <w:sz w:val="20"/>
                <w:szCs w:val="20"/>
              </w:rPr>
              <w:drawing>
                <wp:inline distT="114300" distB="114300" distL="114300" distR="114300" wp14:anchorId="3091036D" wp14:editId="463D3A60">
                  <wp:extent cx="2347913" cy="2031847"/>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2347913" cy="2031847"/>
                          </a:xfrm>
                          <a:prstGeom prst="rect">
                            <a:avLst/>
                          </a:prstGeom>
                          <a:ln/>
                        </pic:spPr>
                      </pic:pic>
                    </a:graphicData>
                  </a:graphic>
                </wp:inline>
              </w:drawing>
            </w:r>
          </w:p>
          <w:p w14:paraId="6D6031BB" w14:textId="77777777" w:rsidR="00456479" w:rsidRDefault="00267ACA">
            <w:pPr>
              <w:pStyle w:val="normal0"/>
              <w:rPr>
                <w:rFonts w:ascii="Muli" w:eastAsia="Muli" w:hAnsi="Muli" w:cs="Muli"/>
                <w:sz w:val="20"/>
                <w:szCs w:val="20"/>
              </w:rPr>
            </w:pPr>
            <w:r>
              <w:rPr>
                <w:rFonts w:ascii="Muli" w:eastAsia="Muli" w:hAnsi="Muli" w:cs="Muli"/>
                <w:b/>
                <w:color w:val="FF126D"/>
                <w:sz w:val="20"/>
                <w:szCs w:val="20"/>
              </w:rPr>
              <w:t>Asexual Reproduction in An</w:t>
            </w:r>
            <w:r>
              <w:rPr>
                <w:rFonts w:ascii="Muli" w:eastAsia="Muli" w:hAnsi="Muli" w:cs="Muli"/>
                <w:b/>
                <w:color w:val="FF126D"/>
                <w:sz w:val="20"/>
                <w:szCs w:val="20"/>
              </w:rPr>
              <w:t>imals</w:t>
            </w:r>
          </w:p>
        </w:tc>
      </w:tr>
    </w:tbl>
    <w:p w14:paraId="7F214A78" w14:textId="77777777" w:rsidR="00456479" w:rsidRDefault="00456479">
      <w:pPr>
        <w:pStyle w:val="normal0"/>
        <w:spacing w:line="276" w:lineRule="auto"/>
        <w:ind w:left="180"/>
        <w:rPr>
          <w:rFonts w:ascii="Muli" w:eastAsia="Muli" w:hAnsi="Muli" w:cs="Muli"/>
          <w:sz w:val="20"/>
          <w:szCs w:val="20"/>
        </w:rPr>
      </w:pPr>
    </w:p>
    <w:p w14:paraId="3B32C78B" w14:textId="77777777" w:rsidR="00456479" w:rsidRDefault="00456479">
      <w:pPr>
        <w:pStyle w:val="normal0"/>
        <w:pBdr>
          <w:top w:val="nil"/>
          <w:left w:val="nil"/>
          <w:bottom w:val="nil"/>
          <w:right w:val="nil"/>
          <w:between w:val="nil"/>
        </w:pBdr>
        <w:spacing w:line="276" w:lineRule="auto"/>
        <w:rPr>
          <w:rFonts w:ascii="Muli" w:eastAsia="Muli" w:hAnsi="Muli" w:cs="Muli"/>
          <w:color w:val="000000"/>
          <w:sz w:val="20"/>
          <w:szCs w:val="20"/>
        </w:rPr>
      </w:pPr>
    </w:p>
    <w:sectPr w:rsidR="00456479">
      <w:headerReference w:type="default" r:id="rId48"/>
      <w:footerReference w:type="even" r:id="rId49"/>
      <w:footerReference w:type="default" r:id="rId50"/>
      <w:headerReference w:type="first" r:id="rId51"/>
      <w:footerReference w:type="first" r:id="rId52"/>
      <w:pgSz w:w="15840" w:h="12240"/>
      <w:pgMar w:top="980" w:right="560" w:bottom="640" w:left="810" w:header="360" w:footer="443" w:gutter="0"/>
      <w:pgNumType w:start="1"/>
      <w:cols w:space="720" w:equalWidth="0">
        <w:col w:w="1447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056C2" w14:textId="77777777" w:rsidR="00000000" w:rsidRDefault="00267ACA">
      <w:r>
        <w:separator/>
      </w:r>
    </w:p>
  </w:endnote>
  <w:endnote w:type="continuationSeparator" w:id="0">
    <w:p w14:paraId="78DAA3D7" w14:textId="77777777" w:rsidR="00000000" w:rsidRDefault="0026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0055C" w14:textId="77777777" w:rsidR="00267ACA" w:rsidRDefault="00267ACA"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391B10" w14:textId="77777777" w:rsidR="00267ACA" w:rsidRDefault="00267ACA" w:rsidP="00267A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A7E60" w14:textId="77777777" w:rsidR="00267ACA" w:rsidRDefault="00267ACA"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47607A20" w14:textId="77777777" w:rsidR="00456479" w:rsidRDefault="00456479" w:rsidP="00267ACA">
    <w:pPr>
      <w:pStyle w:val="normal0"/>
      <w:pBdr>
        <w:top w:val="nil"/>
        <w:left w:val="nil"/>
        <w:bottom w:val="nil"/>
        <w:right w:val="nil"/>
        <w:between w:val="nil"/>
      </w:pBdr>
      <w:ind w:right="360"/>
      <w:rPr>
        <w:color w:val="000000"/>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FBCCC" w14:textId="77777777" w:rsidR="00456479" w:rsidRDefault="00456479">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53D2F" w14:textId="77777777" w:rsidR="00000000" w:rsidRDefault="00267ACA">
      <w:r>
        <w:separator/>
      </w:r>
    </w:p>
  </w:footnote>
  <w:footnote w:type="continuationSeparator" w:id="0">
    <w:p w14:paraId="4FB8AB24" w14:textId="77777777" w:rsidR="00000000" w:rsidRDefault="00267A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CF11A" w14:textId="77777777" w:rsidR="00456479" w:rsidRDefault="00267ACA">
    <w:pPr>
      <w:pStyle w:val="normal0"/>
    </w:pPr>
    <w:r>
      <w:rPr>
        <w:noProof/>
      </w:rPr>
      <w:drawing>
        <wp:anchor distT="0" distB="0" distL="0" distR="0" simplePos="0" relativeHeight="251658240" behindDoc="0" locked="0" layoutInCell="1" hidden="0" allowOverlap="1" wp14:anchorId="0CDE45CA" wp14:editId="4628060A">
          <wp:simplePos x="0" y="0"/>
          <wp:positionH relativeFrom="column">
            <wp:posOffset>7924800</wp:posOffset>
          </wp:positionH>
          <wp:positionV relativeFrom="paragraph">
            <wp:posOffset>9525</wp:posOffset>
          </wp:positionV>
          <wp:extent cx="1504950" cy="360045"/>
          <wp:effectExtent l="0" t="0" r="0" b="0"/>
          <wp:wrapTopAndBottom distT="0" distB="0"/>
          <wp:docPr id="6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1153A" w14:textId="77777777" w:rsidR="00456479" w:rsidRDefault="00267ACA">
    <w:pPr>
      <w:pStyle w:val="normal0"/>
      <w:rPr>
        <w:rFonts w:ascii="Muli" w:eastAsia="Muli" w:hAnsi="Muli" w:cs="Muli"/>
      </w:rPr>
    </w:pPr>
    <w:r>
      <w:rPr>
        <w:noProof/>
      </w:rPr>
      <w:drawing>
        <wp:anchor distT="0" distB="0" distL="0" distR="0" simplePos="0" relativeHeight="251659264" behindDoc="0" locked="0" layoutInCell="1" hidden="0" allowOverlap="1" wp14:anchorId="087C7531" wp14:editId="29A89E30">
          <wp:simplePos x="0" y="0"/>
          <wp:positionH relativeFrom="column">
            <wp:posOffset>-123824</wp:posOffset>
          </wp:positionH>
          <wp:positionV relativeFrom="paragraph">
            <wp:posOffset>-133349</wp:posOffset>
          </wp:positionV>
          <wp:extent cx="9834563" cy="1411705"/>
          <wp:effectExtent l="0" t="0" r="0" b="0"/>
          <wp:wrapSquare wrapText="bothSides" distT="0" distB="0" distL="0" distR="0"/>
          <wp:docPr id="5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
                  <a:srcRect/>
                  <a:stretch>
                    <a:fillRect/>
                  </a:stretch>
                </pic:blipFill>
                <pic:spPr>
                  <a:xfrm>
                    <a:off x="0" y="0"/>
                    <a:ext cx="9834563" cy="141170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78DE"/>
    <w:multiLevelType w:val="multilevel"/>
    <w:tmpl w:val="3B1C0F4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9253AD"/>
    <w:multiLevelType w:val="multilevel"/>
    <w:tmpl w:val="D0B69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DC418C"/>
    <w:multiLevelType w:val="multilevel"/>
    <w:tmpl w:val="CEA07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63721A"/>
    <w:multiLevelType w:val="multilevel"/>
    <w:tmpl w:val="29528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CEF3E40"/>
    <w:multiLevelType w:val="multilevel"/>
    <w:tmpl w:val="B0646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586A00"/>
    <w:multiLevelType w:val="multilevel"/>
    <w:tmpl w:val="B7304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5B07957"/>
    <w:multiLevelType w:val="multilevel"/>
    <w:tmpl w:val="A630F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16528C3"/>
    <w:multiLevelType w:val="multilevel"/>
    <w:tmpl w:val="15607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2B92AF9"/>
    <w:multiLevelType w:val="multilevel"/>
    <w:tmpl w:val="BFC8F1DA"/>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9581213"/>
    <w:multiLevelType w:val="multilevel"/>
    <w:tmpl w:val="22C65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1080FB8"/>
    <w:multiLevelType w:val="multilevel"/>
    <w:tmpl w:val="65BC3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21A10C1"/>
    <w:multiLevelType w:val="multilevel"/>
    <w:tmpl w:val="C4429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C301F87"/>
    <w:multiLevelType w:val="multilevel"/>
    <w:tmpl w:val="665E8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FF16819"/>
    <w:multiLevelType w:val="multilevel"/>
    <w:tmpl w:val="A762F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69B27C8"/>
    <w:multiLevelType w:val="multilevel"/>
    <w:tmpl w:val="BFA6F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98139CC"/>
    <w:multiLevelType w:val="multilevel"/>
    <w:tmpl w:val="F692F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B1419C5"/>
    <w:multiLevelType w:val="multilevel"/>
    <w:tmpl w:val="C302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D5B0B14"/>
    <w:multiLevelType w:val="multilevel"/>
    <w:tmpl w:val="822EB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DE65AB8"/>
    <w:multiLevelType w:val="multilevel"/>
    <w:tmpl w:val="16DEBF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F073D18"/>
    <w:multiLevelType w:val="multilevel"/>
    <w:tmpl w:val="DFF67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0A82311"/>
    <w:multiLevelType w:val="multilevel"/>
    <w:tmpl w:val="F94446A4"/>
    <w:lvl w:ilvl="0">
      <w:start w:val="1"/>
      <w:numFmt w:val="decimal"/>
      <w:lvlText w:val="%1."/>
      <w:lvlJc w:val="left"/>
      <w:pPr>
        <w:ind w:left="1127" w:hanging="360"/>
      </w:pPr>
      <w:rPr>
        <w:rFonts w:ascii="Calibri" w:eastAsia="Calibri" w:hAnsi="Calibri" w:cs="Calibri"/>
        <w:sz w:val="20"/>
        <w:szCs w:val="20"/>
      </w:rPr>
    </w:lvl>
    <w:lvl w:ilvl="1">
      <w:start w:val="1"/>
      <w:numFmt w:val="decimal"/>
      <w:lvlText w:val="%2."/>
      <w:lvlJc w:val="left"/>
      <w:pPr>
        <w:ind w:left="1329" w:hanging="407"/>
      </w:pPr>
      <w:rPr>
        <w:b/>
      </w:rPr>
    </w:lvl>
    <w:lvl w:ilvl="2">
      <w:numFmt w:val="bullet"/>
      <w:lvlText w:val="•"/>
      <w:lvlJc w:val="left"/>
      <w:pPr>
        <w:ind w:left="2804" w:hanging="408"/>
      </w:pPr>
    </w:lvl>
    <w:lvl w:ilvl="3">
      <w:numFmt w:val="bullet"/>
      <w:lvlText w:val="•"/>
      <w:lvlJc w:val="left"/>
      <w:pPr>
        <w:ind w:left="4288" w:hanging="408"/>
      </w:pPr>
    </w:lvl>
    <w:lvl w:ilvl="4">
      <w:numFmt w:val="bullet"/>
      <w:lvlText w:val="•"/>
      <w:lvlJc w:val="left"/>
      <w:pPr>
        <w:ind w:left="5773" w:hanging="408"/>
      </w:pPr>
    </w:lvl>
    <w:lvl w:ilvl="5">
      <w:numFmt w:val="bullet"/>
      <w:lvlText w:val="•"/>
      <w:lvlJc w:val="left"/>
      <w:pPr>
        <w:ind w:left="7257" w:hanging="407"/>
      </w:pPr>
    </w:lvl>
    <w:lvl w:ilvl="6">
      <w:numFmt w:val="bullet"/>
      <w:lvlText w:val="•"/>
      <w:lvlJc w:val="left"/>
      <w:pPr>
        <w:ind w:left="8742" w:hanging="408"/>
      </w:pPr>
    </w:lvl>
    <w:lvl w:ilvl="7">
      <w:numFmt w:val="bullet"/>
      <w:lvlText w:val="•"/>
      <w:lvlJc w:val="left"/>
      <w:pPr>
        <w:ind w:left="10226" w:hanging="408"/>
      </w:pPr>
    </w:lvl>
    <w:lvl w:ilvl="8">
      <w:numFmt w:val="bullet"/>
      <w:lvlText w:val="•"/>
      <w:lvlJc w:val="left"/>
      <w:pPr>
        <w:ind w:left="11711" w:hanging="408"/>
      </w:pPr>
    </w:lvl>
  </w:abstractNum>
  <w:abstractNum w:abstractNumId="21">
    <w:nsid w:val="7C9B0F45"/>
    <w:multiLevelType w:val="multilevel"/>
    <w:tmpl w:val="D40EB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D807214"/>
    <w:multiLevelType w:val="multilevel"/>
    <w:tmpl w:val="7320E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1"/>
  </w:num>
  <w:num w:numId="3">
    <w:abstractNumId w:val="19"/>
  </w:num>
  <w:num w:numId="4">
    <w:abstractNumId w:val="2"/>
  </w:num>
  <w:num w:numId="5">
    <w:abstractNumId w:val="11"/>
  </w:num>
  <w:num w:numId="6">
    <w:abstractNumId w:val="22"/>
  </w:num>
  <w:num w:numId="7">
    <w:abstractNumId w:val="10"/>
  </w:num>
  <w:num w:numId="8">
    <w:abstractNumId w:val="1"/>
  </w:num>
  <w:num w:numId="9">
    <w:abstractNumId w:val="4"/>
  </w:num>
  <w:num w:numId="10">
    <w:abstractNumId w:val="18"/>
  </w:num>
  <w:num w:numId="11">
    <w:abstractNumId w:val="6"/>
  </w:num>
  <w:num w:numId="12">
    <w:abstractNumId w:val="12"/>
  </w:num>
  <w:num w:numId="13">
    <w:abstractNumId w:val="15"/>
  </w:num>
  <w:num w:numId="14">
    <w:abstractNumId w:val="0"/>
  </w:num>
  <w:num w:numId="15">
    <w:abstractNumId w:val="3"/>
  </w:num>
  <w:num w:numId="16">
    <w:abstractNumId w:val="5"/>
  </w:num>
  <w:num w:numId="17">
    <w:abstractNumId w:val="16"/>
  </w:num>
  <w:num w:numId="18">
    <w:abstractNumId w:val="17"/>
  </w:num>
  <w:num w:numId="19">
    <w:abstractNumId w:val="8"/>
  </w:num>
  <w:num w:numId="20">
    <w:abstractNumId w:val="13"/>
  </w:num>
  <w:num w:numId="21">
    <w:abstractNumId w:val="20"/>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56479"/>
    <w:rsid w:val="00267ACA"/>
    <w:rsid w:val="00456479"/>
    <w:rsid w:val="00ED15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70F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D1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5A9"/>
    <w:rPr>
      <w:rFonts w:ascii="Lucida Grande" w:hAnsi="Lucida Grande" w:cs="Lucida Grande"/>
      <w:sz w:val="18"/>
      <w:szCs w:val="18"/>
    </w:rPr>
  </w:style>
  <w:style w:type="paragraph" w:styleId="Footer">
    <w:name w:val="footer"/>
    <w:basedOn w:val="Normal"/>
    <w:link w:val="FooterChar"/>
    <w:uiPriority w:val="99"/>
    <w:unhideWhenUsed/>
    <w:rsid w:val="00267ACA"/>
    <w:pPr>
      <w:tabs>
        <w:tab w:val="center" w:pos="4320"/>
        <w:tab w:val="right" w:pos="8640"/>
      </w:tabs>
    </w:pPr>
  </w:style>
  <w:style w:type="character" w:customStyle="1" w:styleId="FooterChar">
    <w:name w:val="Footer Char"/>
    <w:basedOn w:val="DefaultParagraphFont"/>
    <w:link w:val="Footer"/>
    <w:uiPriority w:val="99"/>
    <w:rsid w:val="00267ACA"/>
  </w:style>
  <w:style w:type="character" w:styleId="PageNumber">
    <w:name w:val="page number"/>
    <w:basedOn w:val="DefaultParagraphFont"/>
    <w:uiPriority w:val="99"/>
    <w:semiHidden/>
    <w:unhideWhenUsed/>
    <w:rsid w:val="00267A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D1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5A9"/>
    <w:rPr>
      <w:rFonts w:ascii="Lucida Grande" w:hAnsi="Lucida Grande" w:cs="Lucida Grande"/>
      <w:sz w:val="18"/>
      <w:szCs w:val="18"/>
    </w:rPr>
  </w:style>
  <w:style w:type="paragraph" w:styleId="Footer">
    <w:name w:val="footer"/>
    <w:basedOn w:val="Normal"/>
    <w:link w:val="FooterChar"/>
    <w:uiPriority w:val="99"/>
    <w:unhideWhenUsed/>
    <w:rsid w:val="00267ACA"/>
    <w:pPr>
      <w:tabs>
        <w:tab w:val="center" w:pos="4320"/>
        <w:tab w:val="right" w:pos="8640"/>
      </w:tabs>
    </w:pPr>
  </w:style>
  <w:style w:type="character" w:customStyle="1" w:styleId="FooterChar">
    <w:name w:val="Footer Char"/>
    <w:basedOn w:val="DefaultParagraphFont"/>
    <w:link w:val="Footer"/>
    <w:uiPriority w:val="99"/>
    <w:rsid w:val="00267ACA"/>
  </w:style>
  <w:style w:type="character" w:styleId="PageNumber">
    <w:name w:val="page number"/>
    <w:basedOn w:val="DefaultParagraphFont"/>
    <w:uiPriority w:val="99"/>
    <w:semiHidden/>
    <w:unhideWhenUsed/>
    <w:rsid w:val="00267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footer" Target="footer2.xml"/><Relationship Id="rId51" Type="http://schemas.openxmlformats.org/officeDocument/2006/relationships/header" Target="header2.xml"/><Relationship Id="rId52" Type="http://schemas.openxmlformats.org/officeDocument/2006/relationships/footer" Target="foot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header" Target="header1.xml"/><Relationship Id="rId4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39</Pages>
  <Words>4023</Words>
  <Characters>22937</Characters>
  <Application>Microsoft Macintosh Word</Application>
  <DocSecurity>0</DocSecurity>
  <Lines>191</Lines>
  <Paragraphs>53</Paragraphs>
  <ScaleCrop>false</ScaleCrop>
  <Company/>
  <LinksUpToDate>false</LinksUpToDate>
  <CharactersWithSpaces>26907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3</cp:revision>
  <dcterms:created xsi:type="dcterms:W3CDTF">2018-11-19T14:32:00Z</dcterms:created>
  <dcterms:modified xsi:type="dcterms:W3CDTF">2018-11-19T14:39:00Z</dcterms:modified>
</cp:coreProperties>
</file>