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1C92B" w14:textId="77777777" w:rsidR="0078448E" w:rsidRDefault="00DF4D5D">
      <w:pPr>
        <w:pStyle w:val="normal0"/>
        <w:spacing w:before="147"/>
        <w:ind w:left="180"/>
        <w:rPr>
          <w:rFonts w:ascii="Muli" w:eastAsia="Muli" w:hAnsi="Muli" w:cs="Muli"/>
          <w:b/>
          <w:color w:val="FF126D"/>
          <w:sz w:val="20"/>
          <w:szCs w:val="20"/>
        </w:rPr>
      </w:pPr>
      <w:r>
        <w:rPr>
          <w:rFonts w:ascii="Muli" w:eastAsia="Muli" w:hAnsi="Muli" w:cs="Muli"/>
          <w:b/>
          <w:color w:val="FF126D"/>
          <w:sz w:val="28"/>
          <w:szCs w:val="28"/>
        </w:rPr>
        <w:t>Designed for NGSS: Student Work Rubric</w:t>
      </w:r>
    </w:p>
    <w:p w14:paraId="1F3F72B4" w14:textId="77777777" w:rsidR="0078448E" w:rsidRDefault="00DF4D5D">
      <w:pPr>
        <w:pStyle w:val="normal0"/>
        <w:ind w:left="180"/>
        <w:rPr>
          <w:rFonts w:ascii="Muli" w:eastAsia="Muli" w:hAnsi="Muli" w:cs="Muli"/>
          <w:sz w:val="20"/>
          <w:szCs w:val="20"/>
        </w:rPr>
      </w:pPr>
      <w:r>
        <w:rPr>
          <w:rFonts w:ascii="Muli" w:eastAsia="Muli" w:hAnsi="Muli" w:cs="Muli"/>
          <w:b/>
          <w:sz w:val="20"/>
          <w:szCs w:val="20"/>
        </w:rPr>
        <w:t>Analyze Evidence</w:t>
      </w:r>
      <w:r>
        <w:rPr>
          <w:rFonts w:ascii="Muli" w:eastAsia="Muli" w:hAnsi="Muli" w:cs="Muli"/>
          <w:sz w:val="20"/>
          <w:szCs w:val="20"/>
        </w:rPr>
        <w:t xml:space="preserve"> </w:t>
      </w:r>
    </w:p>
    <w:p w14:paraId="6020356F" w14:textId="77777777" w:rsidR="0078448E" w:rsidRDefault="0078448E">
      <w:pPr>
        <w:pStyle w:val="normal0"/>
        <w:ind w:left="180"/>
        <w:rPr>
          <w:rFonts w:ascii="Muli" w:eastAsia="Muli" w:hAnsi="Muli" w:cs="Muli"/>
          <w:sz w:val="20"/>
          <w:szCs w:val="20"/>
        </w:rPr>
      </w:pPr>
    </w:p>
    <w:p w14:paraId="4EAEDF8E" w14:textId="77777777" w:rsidR="0078448E" w:rsidRDefault="00DF4D5D">
      <w:pPr>
        <w:pStyle w:val="normal0"/>
        <w:ind w:left="180"/>
        <w:rPr>
          <w:rFonts w:ascii="Muli" w:eastAsia="Muli" w:hAnsi="Muli" w:cs="Muli"/>
          <w:sz w:val="20"/>
          <w:szCs w:val="20"/>
        </w:rPr>
      </w:pPr>
      <w:r>
        <w:rPr>
          <w:rFonts w:ascii="Muli" w:eastAsia="Muli" w:hAnsi="Muli" w:cs="Muli"/>
          <w:sz w:val="20"/>
          <w:szCs w:val="20"/>
        </w:rPr>
        <w:t>Directions</w:t>
      </w:r>
    </w:p>
    <w:p w14:paraId="25C32A92" w14:textId="77777777" w:rsidR="0078448E" w:rsidRDefault="00DF4D5D">
      <w:pPr>
        <w:pStyle w:val="normal0"/>
        <w:numPr>
          <w:ilvl w:val="0"/>
          <w:numId w:val="3"/>
        </w:numPr>
        <w:tabs>
          <w:tab w:val="left" w:pos="1127"/>
          <w:tab w:val="left" w:pos="1128"/>
        </w:tabs>
        <w:rPr>
          <w:rFonts w:ascii="Muli" w:eastAsia="Muli" w:hAnsi="Muli" w:cs="Muli"/>
        </w:rPr>
      </w:pPr>
      <w:r>
        <w:rPr>
          <w:rFonts w:ascii="Muli" w:eastAsia="Muli" w:hAnsi="Muli" w:cs="Muli"/>
          <w:sz w:val="20"/>
          <w:szCs w:val="20"/>
        </w:rPr>
        <w:t>Review your assigned materials to describe the path of student thinking.</w:t>
      </w:r>
    </w:p>
    <w:p w14:paraId="4B44F0AA" w14:textId="77777777" w:rsidR="0078448E" w:rsidRDefault="00DF4D5D">
      <w:pPr>
        <w:pStyle w:val="normal0"/>
        <w:numPr>
          <w:ilvl w:val="0"/>
          <w:numId w:val="3"/>
        </w:numPr>
        <w:tabs>
          <w:tab w:val="left" w:pos="1127"/>
          <w:tab w:val="left" w:pos="1128"/>
        </w:tabs>
        <w:rPr>
          <w:rFonts w:ascii="Muli" w:eastAsia="Muli" w:hAnsi="Muli" w:cs="Muli"/>
        </w:rPr>
      </w:pPr>
      <w:r>
        <w:rPr>
          <w:rFonts w:ascii="Muli" w:eastAsia="Muli" w:hAnsi="Muli" w:cs="Muli"/>
          <w:sz w:val="20"/>
          <w:szCs w:val="20"/>
        </w:rPr>
        <w:t>Represent your answers to the questions in the space provided.</w:t>
      </w:r>
    </w:p>
    <w:p w14:paraId="2ED18A7E" w14:textId="77777777" w:rsidR="0078448E" w:rsidRDefault="00DF4D5D">
      <w:pPr>
        <w:pStyle w:val="normal0"/>
        <w:numPr>
          <w:ilvl w:val="0"/>
          <w:numId w:val="3"/>
        </w:numPr>
        <w:tabs>
          <w:tab w:val="left" w:pos="1127"/>
          <w:tab w:val="left" w:pos="1128"/>
        </w:tabs>
        <w:rPr>
          <w:rFonts w:ascii="Muli" w:eastAsia="Muli" w:hAnsi="Muli" w:cs="Muli"/>
        </w:rPr>
      </w:pPr>
      <w:r>
        <w:rPr>
          <w:rFonts w:ascii="Muli" w:eastAsia="Muli" w:hAnsi="Muli" w:cs="Muli"/>
          <w:sz w:val="20"/>
          <w:szCs w:val="20"/>
        </w:rPr>
        <w:t>Be prepared to share the path of student thinking visually on a public chart.</w:t>
      </w:r>
    </w:p>
    <w:p w14:paraId="37BACA5B" w14:textId="77777777" w:rsidR="0078448E" w:rsidRDefault="0078448E">
      <w:pPr>
        <w:pStyle w:val="normal0"/>
        <w:pBdr>
          <w:top w:val="nil"/>
          <w:left w:val="nil"/>
          <w:bottom w:val="nil"/>
          <w:right w:val="nil"/>
          <w:between w:val="nil"/>
        </w:pBdr>
        <w:spacing w:before="9" w:after="1"/>
        <w:rPr>
          <w:rFonts w:ascii="Muli" w:eastAsia="Muli" w:hAnsi="Muli" w:cs="Muli"/>
          <w:color w:val="000000"/>
          <w:sz w:val="20"/>
          <w:szCs w:val="20"/>
        </w:rPr>
      </w:pPr>
    </w:p>
    <w:tbl>
      <w:tblPr>
        <w:tblStyle w:val="a"/>
        <w:tblW w:w="14250"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65"/>
        <w:gridCol w:w="5385"/>
      </w:tblGrid>
      <w:tr w:rsidR="0078448E" w14:paraId="419C283E" w14:textId="77777777">
        <w:trPr>
          <w:trHeight w:val="280"/>
        </w:trPr>
        <w:tc>
          <w:tcPr>
            <w:tcW w:w="14250" w:type="dxa"/>
            <w:gridSpan w:val="2"/>
            <w:shd w:val="clear" w:color="auto" w:fill="FF126D"/>
          </w:tcPr>
          <w:p w14:paraId="13F1E2F2" w14:textId="77777777" w:rsidR="0078448E" w:rsidRDefault="00DF4D5D">
            <w:pPr>
              <w:pStyle w:val="normal0"/>
              <w:ind w:left="180" w:right="-120"/>
              <w:rPr>
                <w:rFonts w:ascii="Muli" w:eastAsia="Muli" w:hAnsi="Muli" w:cs="Muli"/>
                <w:b/>
                <w:sz w:val="20"/>
                <w:szCs w:val="20"/>
              </w:rPr>
            </w:pPr>
            <w:r>
              <w:rPr>
                <w:rFonts w:ascii="Muli" w:eastAsia="Muli" w:hAnsi="Muli" w:cs="Muli"/>
                <w:b/>
                <w:color w:val="FFFFFF"/>
                <w:sz w:val="20"/>
                <w:szCs w:val="20"/>
              </w:rPr>
              <w:t>Answer (in words, graphics, or both)</w:t>
            </w:r>
          </w:p>
        </w:tc>
      </w:tr>
      <w:tr w:rsidR="0078448E" w14:paraId="08C87C29" w14:textId="77777777" w:rsidTr="00AB15DC">
        <w:trPr>
          <w:trHeight w:val="5634"/>
        </w:trPr>
        <w:tc>
          <w:tcPr>
            <w:tcW w:w="14250" w:type="dxa"/>
            <w:gridSpan w:val="2"/>
          </w:tcPr>
          <w:p w14:paraId="1EC0B38F" w14:textId="77777777" w:rsidR="0078448E" w:rsidRDefault="00DF4D5D">
            <w:pPr>
              <w:pStyle w:val="normal0"/>
              <w:spacing w:before="121" w:line="276" w:lineRule="auto"/>
              <w:ind w:left="180" w:right="383"/>
              <w:rPr>
                <w:rFonts w:ascii="Muli" w:eastAsia="Muli" w:hAnsi="Muli" w:cs="Muli"/>
                <w:sz w:val="20"/>
                <w:szCs w:val="20"/>
              </w:rPr>
            </w:pPr>
            <w:r>
              <w:rPr>
                <w:rFonts w:ascii="Muli" w:eastAsia="Muli" w:hAnsi="Muli" w:cs="Muli"/>
                <w:sz w:val="20"/>
                <w:szCs w:val="20"/>
              </w:rPr>
              <w:t>Answer the following questions as you describe the path of student thinking in the materials. Consider what you would expect students to be thinking about through the learning experiences.</w:t>
            </w:r>
          </w:p>
          <w:p w14:paraId="61B5310A" w14:textId="77777777" w:rsidR="0078448E" w:rsidRDefault="00DF4D5D">
            <w:pPr>
              <w:pStyle w:val="normal0"/>
              <w:spacing w:before="121"/>
              <w:ind w:left="180"/>
              <w:rPr>
                <w:rFonts w:ascii="Muli" w:eastAsia="Muli" w:hAnsi="Muli" w:cs="Muli"/>
                <w:sz w:val="20"/>
                <w:szCs w:val="20"/>
              </w:rPr>
            </w:pPr>
            <w:r>
              <w:rPr>
                <w:rFonts w:ascii="Muli" w:eastAsia="Muli" w:hAnsi="Muli" w:cs="Muli"/>
                <w:sz w:val="20"/>
                <w:szCs w:val="20"/>
              </w:rPr>
              <w:t>What are students figuring out/solving?</w:t>
            </w:r>
          </w:p>
          <w:p w14:paraId="7F274065" w14:textId="77777777" w:rsidR="0078448E" w:rsidRDefault="00DF4D5D">
            <w:pPr>
              <w:pStyle w:val="normal0"/>
              <w:numPr>
                <w:ilvl w:val="0"/>
                <w:numId w:val="14"/>
              </w:numPr>
              <w:tabs>
                <w:tab w:val="left" w:pos="474"/>
                <w:tab w:val="left" w:pos="475"/>
              </w:tabs>
              <w:spacing w:before="156" w:line="276" w:lineRule="auto"/>
              <w:ind w:right="521"/>
              <w:rPr>
                <w:rFonts w:ascii="Muli" w:eastAsia="Muli" w:hAnsi="Muli" w:cs="Muli"/>
                <w:sz w:val="20"/>
                <w:szCs w:val="20"/>
              </w:rPr>
            </w:pPr>
            <w:r>
              <w:rPr>
                <w:rFonts w:ascii="Muli" w:eastAsia="Muli" w:hAnsi="Muli" w:cs="Muli"/>
                <w:sz w:val="20"/>
                <w:szCs w:val="20"/>
              </w:rPr>
              <w:t>What is driving student lea</w:t>
            </w:r>
            <w:r>
              <w:rPr>
                <w:rFonts w:ascii="Muli" w:eastAsia="Muli" w:hAnsi="Muli" w:cs="Muli"/>
                <w:sz w:val="20"/>
                <w:szCs w:val="20"/>
              </w:rPr>
              <w:t>rning (e.g., question, scenario, problem, phenomenon, etc.)?</w:t>
            </w:r>
          </w:p>
          <w:p w14:paraId="1FDE54E2" w14:textId="77777777" w:rsidR="0078448E" w:rsidRDefault="00DF4D5D">
            <w:pPr>
              <w:pStyle w:val="normal0"/>
              <w:numPr>
                <w:ilvl w:val="0"/>
                <w:numId w:val="14"/>
              </w:numPr>
              <w:tabs>
                <w:tab w:val="left" w:pos="474"/>
                <w:tab w:val="left" w:pos="475"/>
              </w:tabs>
              <w:spacing w:before="120" w:line="276" w:lineRule="auto"/>
              <w:ind w:right="515"/>
              <w:rPr>
                <w:rFonts w:ascii="Muli" w:eastAsia="Muli" w:hAnsi="Muli" w:cs="Muli"/>
                <w:sz w:val="20"/>
                <w:szCs w:val="20"/>
              </w:rPr>
            </w:pPr>
            <w:r>
              <w:rPr>
                <w:rFonts w:ascii="Muli" w:eastAsia="Muli" w:hAnsi="Muli" w:cs="Muli"/>
                <w:sz w:val="20"/>
                <w:szCs w:val="20"/>
              </w:rPr>
              <w:t>What ideas and practices do students develop through these experiences?</w:t>
            </w:r>
          </w:p>
          <w:p w14:paraId="2F6B350C" w14:textId="77777777" w:rsidR="0078448E" w:rsidRDefault="00DF4D5D">
            <w:pPr>
              <w:pStyle w:val="normal0"/>
              <w:numPr>
                <w:ilvl w:val="0"/>
                <w:numId w:val="14"/>
              </w:numPr>
              <w:tabs>
                <w:tab w:val="left" w:pos="474"/>
                <w:tab w:val="left" w:pos="475"/>
              </w:tabs>
              <w:spacing w:before="121" w:line="276" w:lineRule="auto"/>
              <w:ind w:right="165"/>
              <w:rPr>
                <w:rFonts w:ascii="Muli" w:eastAsia="Muli" w:hAnsi="Muli" w:cs="Muli"/>
                <w:sz w:val="20"/>
                <w:szCs w:val="20"/>
              </w:rPr>
            </w:pPr>
            <w:r>
              <w:rPr>
                <w:rFonts w:ascii="Muli" w:eastAsia="Muli" w:hAnsi="Muli" w:cs="Muli"/>
                <w:sz w:val="20"/>
                <w:szCs w:val="20"/>
              </w:rPr>
              <w:t>How do students access, engage, and use prior knowledge to further their thinking?</w:t>
            </w:r>
          </w:p>
          <w:p w14:paraId="3EDEEA1F" w14:textId="77777777" w:rsidR="0078448E" w:rsidRDefault="00DF4D5D">
            <w:pPr>
              <w:pStyle w:val="normal0"/>
              <w:numPr>
                <w:ilvl w:val="0"/>
                <w:numId w:val="14"/>
              </w:numPr>
              <w:tabs>
                <w:tab w:val="left" w:pos="474"/>
                <w:tab w:val="left" w:pos="475"/>
              </w:tabs>
              <w:spacing w:before="120" w:line="276" w:lineRule="auto"/>
              <w:ind w:right="284"/>
              <w:rPr>
                <w:rFonts w:ascii="Muli" w:eastAsia="Muli" w:hAnsi="Muli" w:cs="Muli"/>
                <w:sz w:val="20"/>
                <w:szCs w:val="20"/>
              </w:rPr>
            </w:pPr>
            <w:r>
              <w:rPr>
                <w:rFonts w:ascii="Muli" w:eastAsia="Muli" w:hAnsi="Muli" w:cs="Muli"/>
                <w:sz w:val="20"/>
                <w:szCs w:val="20"/>
              </w:rPr>
              <w:t>How do students develop metacognitive ab</w:t>
            </w:r>
            <w:r>
              <w:rPr>
                <w:rFonts w:ascii="Muli" w:eastAsia="Muli" w:hAnsi="Muli" w:cs="Muli"/>
                <w:sz w:val="20"/>
                <w:szCs w:val="20"/>
              </w:rPr>
              <w:t>ilities?</w:t>
            </w:r>
          </w:p>
        </w:tc>
      </w:tr>
      <w:tr w:rsidR="0078448E" w14:paraId="6DB563B9" w14:textId="77777777">
        <w:trPr>
          <w:trHeight w:val="640"/>
        </w:trPr>
        <w:tc>
          <w:tcPr>
            <w:tcW w:w="14250" w:type="dxa"/>
            <w:gridSpan w:val="2"/>
            <w:shd w:val="clear" w:color="auto" w:fill="D9D9D9"/>
          </w:tcPr>
          <w:p w14:paraId="0E4FDCA8" w14:textId="77777777" w:rsidR="0078448E" w:rsidRDefault="00DF4D5D">
            <w:pPr>
              <w:pStyle w:val="normal0"/>
              <w:ind w:left="180" w:right="105"/>
              <w:rPr>
                <w:rFonts w:ascii="Muli" w:eastAsia="Muli" w:hAnsi="Muli" w:cs="Muli"/>
                <w:b/>
                <w:color w:val="2F5496"/>
                <w:sz w:val="20"/>
                <w:szCs w:val="20"/>
              </w:rPr>
            </w:pPr>
            <w:r>
              <w:rPr>
                <w:rFonts w:ascii="Muli" w:eastAsia="Muli" w:hAnsi="Muli" w:cs="Muli"/>
                <w:b/>
                <w:color w:val="2F5496"/>
                <w:sz w:val="20"/>
                <w:szCs w:val="20"/>
              </w:rPr>
              <w:lastRenderedPageBreak/>
              <w:t>SW1. Phenomena/Problems.</w:t>
            </w:r>
          </w:p>
          <w:p w14:paraId="28D0CF82" w14:textId="77777777" w:rsidR="0078448E" w:rsidRDefault="00DF4D5D">
            <w:pPr>
              <w:pStyle w:val="normal0"/>
              <w:ind w:left="180" w:right="105"/>
              <w:rPr>
                <w:rFonts w:ascii="Muli" w:eastAsia="Muli" w:hAnsi="Muli" w:cs="Muli"/>
                <w:sz w:val="20"/>
                <w:szCs w:val="20"/>
              </w:rPr>
            </w:pPr>
            <w:proofErr w:type="gramStart"/>
            <w:r>
              <w:rPr>
                <w:rFonts w:ascii="Muli" w:eastAsia="Muli" w:hAnsi="Muli" w:cs="Muli"/>
                <w:sz w:val="20"/>
                <w:szCs w:val="20"/>
              </w:rPr>
              <w:t>Student learning is driven by figuring out the Module Phenomenon</w:t>
            </w:r>
            <w:proofErr w:type="gramEnd"/>
            <w:r>
              <w:rPr>
                <w:rFonts w:ascii="Muli" w:eastAsia="Muli" w:hAnsi="Muli" w:cs="Muli"/>
                <w:sz w:val="20"/>
                <w:szCs w:val="20"/>
              </w:rPr>
              <w:t>: How are objects affected by the forces of push and pull?</w:t>
            </w:r>
          </w:p>
        </w:tc>
      </w:tr>
      <w:tr w:rsidR="0078448E" w14:paraId="2F36630E" w14:textId="77777777">
        <w:trPr>
          <w:trHeight w:val="5080"/>
        </w:trPr>
        <w:tc>
          <w:tcPr>
            <w:tcW w:w="8865" w:type="dxa"/>
          </w:tcPr>
          <w:p w14:paraId="62BFA492"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In order to understand the phenomenon, students work through a series of DQs that require them to make sense of a subset of smaller phenomena/problems and then connect what they now know to the central problem. The skills and knowledge gained over these in</w:t>
            </w:r>
            <w:r>
              <w:rPr>
                <w:rFonts w:ascii="Muli" w:eastAsia="Muli" w:hAnsi="Muli" w:cs="Muli"/>
                <w:sz w:val="20"/>
                <w:szCs w:val="20"/>
              </w:rPr>
              <w:t>vestigations culminate in a final class discussion where they address the Module Phenomenon.</w:t>
            </w:r>
          </w:p>
          <w:p w14:paraId="6D195253" w14:textId="77777777" w:rsidR="0078448E" w:rsidRDefault="0078448E">
            <w:pPr>
              <w:pStyle w:val="normal0"/>
              <w:ind w:left="180" w:right="135"/>
              <w:rPr>
                <w:rFonts w:ascii="Muli" w:eastAsia="Muli" w:hAnsi="Muli" w:cs="Muli"/>
                <w:sz w:val="20"/>
                <w:szCs w:val="20"/>
              </w:rPr>
            </w:pPr>
          </w:p>
          <w:p w14:paraId="7F781975"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DQ1: What do plants need to grow?</w:t>
            </w:r>
          </w:p>
          <w:p w14:paraId="3D759F81"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DQ2: What do animals need in order to grow and heal?</w:t>
            </w:r>
          </w:p>
          <w:p w14:paraId="6474F765"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DQ3: Where do plants get their matter?</w:t>
            </w:r>
          </w:p>
          <w:p w14:paraId="7643CE3B"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DQ4: Where do organisms get the ener</w:t>
            </w:r>
            <w:r>
              <w:rPr>
                <w:rFonts w:ascii="Muli" w:eastAsia="Muli" w:hAnsi="Muli" w:cs="Muli"/>
                <w:sz w:val="20"/>
                <w:szCs w:val="20"/>
              </w:rPr>
              <w:t>gy they need to grow, heal, move, and maintain their body temperature?</w:t>
            </w:r>
          </w:p>
          <w:p w14:paraId="224BA6E5"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DQ5: What happens to matter in an ecosystem?</w:t>
            </w:r>
          </w:p>
          <w:p w14:paraId="4B4E639A"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DQ6: How can ecosystems change?</w:t>
            </w:r>
          </w:p>
          <w:p w14:paraId="194FDE91" w14:textId="77777777" w:rsidR="0078448E" w:rsidRDefault="0078448E">
            <w:pPr>
              <w:pStyle w:val="normal0"/>
              <w:ind w:left="180" w:right="135"/>
              <w:rPr>
                <w:rFonts w:ascii="Muli" w:eastAsia="Muli" w:hAnsi="Muli" w:cs="Muli"/>
                <w:sz w:val="20"/>
                <w:szCs w:val="20"/>
              </w:rPr>
            </w:pPr>
          </w:p>
          <w:p w14:paraId="281A2F6D" w14:textId="77777777" w:rsidR="0078448E" w:rsidRDefault="00DF4D5D">
            <w:pPr>
              <w:pStyle w:val="normal0"/>
              <w:ind w:left="180" w:right="135"/>
              <w:rPr>
                <w:rFonts w:ascii="Muli" w:eastAsia="Muli" w:hAnsi="Muli" w:cs="Muli"/>
                <w:b/>
                <w:color w:val="FF126D"/>
                <w:sz w:val="20"/>
                <w:szCs w:val="20"/>
              </w:rPr>
            </w:pPr>
            <w:r>
              <w:rPr>
                <w:rFonts w:ascii="Muli" w:eastAsia="Muli" w:hAnsi="Muli" w:cs="Muli"/>
                <w:b/>
                <w:color w:val="FF126D"/>
                <w:sz w:val="20"/>
                <w:szCs w:val="20"/>
              </w:rPr>
              <w:t xml:space="preserve">Evidence </w:t>
            </w:r>
          </w:p>
          <w:p w14:paraId="0F9A3EC5" w14:textId="77777777" w:rsidR="0078448E" w:rsidRDefault="00DF4D5D">
            <w:pPr>
              <w:pStyle w:val="normal0"/>
              <w:numPr>
                <w:ilvl w:val="0"/>
                <w:numId w:val="16"/>
              </w:numPr>
              <w:ind w:right="135"/>
              <w:contextualSpacing/>
              <w:rPr>
                <w:rFonts w:ascii="Muli" w:eastAsia="Muli" w:hAnsi="Muli" w:cs="Muli"/>
                <w:sz w:val="20"/>
                <w:szCs w:val="20"/>
              </w:rPr>
            </w:pPr>
            <w:r>
              <w:rPr>
                <w:rFonts w:ascii="Muli" w:eastAsia="Muli" w:hAnsi="Muli" w:cs="Muli"/>
                <w:sz w:val="20"/>
                <w:szCs w:val="20"/>
              </w:rPr>
              <w:t>Students investigate the phenomenon of what plants need to grow by observing a series of visuals and then planning and carrying out a hands-on investigation. They close read an informational text that treats this phenomenon, which they summarize (</w:t>
            </w:r>
            <w:r>
              <w:rPr>
                <w:rFonts w:ascii="Muli" w:eastAsia="Muli" w:hAnsi="Muli" w:cs="Muli"/>
                <w:b/>
                <w:color w:val="FF126D"/>
                <w:sz w:val="20"/>
                <w:szCs w:val="20"/>
              </w:rPr>
              <w:t>DQ1 TB pp</w:t>
            </w:r>
            <w:r>
              <w:rPr>
                <w:rFonts w:ascii="Muli" w:eastAsia="Muli" w:hAnsi="Muli" w:cs="Muli"/>
                <w:b/>
                <w:color w:val="FF126D"/>
                <w:sz w:val="20"/>
                <w:szCs w:val="20"/>
              </w:rPr>
              <w:t>. 3–16</w:t>
            </w:r>
            <w:r>
              <w:rPr>
                <w:rFonts w:ascii="Muli" w:eastAsia="Muli" w:hAnsi="Muli" w:cs="Muli"/>
                <w:sz w:val="20"/>
                <w:szCs w:val="20"/>
              </w:rPr>
              <w:t xml:space="preserve">). </w:t>
            </w:r>
          </w:p>
        </w:tc>
        <w:tc>
          <w:tcPr>
            <w:tcW w:w="5385" w:type="dxa"/>
          </w:tcPr>
          <w:p w14:paraId="2B66BAB3" w14:textId="77777777" w:rsidR="0078448E" w:rsidRDefault="00DF4D5D">
            <w:pPr>
              <w:pStyle w:val="normal0"/>
              <w:pBdr>
                <w:top w:val="nil"/>
                <w:left w:val="nil"/>
                <w:bottom w:val="nil"/>
                <w:right w:val="nil"/>
                <w:between w:val="nil"/>
              </w:pBdr>
              <w:ind w:firstLine="90"/>
              <w:rPr>
                <w:rFonts w:ascii="Muli" w:eastAsia="Muli" w:hAnsi="Muli" w:cs="Muli"/>
                <w:b/>
                <w:color w:val="FFFFFF"/>
                <w:sz w:val="20"/>
                <w:szCs w:val="20"/>
              </w:rPr>
            </w:pPr>
            <w:r>
              <w:rPr>
                <w:rFonts w:ascii="Muli" w:eastAsia="Muli" w:hAnsi="Muli" w:cs="Muli"/>
                <w:b/>
                <w:noProof/>
                <w:color w:val="FFFFFF"/>
                <w:sz w:val="20"/>
                <w:szCs w:val="20"/>
              </w:rPr>
              <w:drawing>
                <wp:inline distT="114300" distB="114300" distL="114300" distR="114300" wp14:anchorId="47A2EE95" wp14:editId="50A7A491">
                  <wp:extent cx="2757488" cy="2937324"/>
                  <wp:effectExtent l="0" t="0" r="0" b="0"/>
                  <wp:docPr id="5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
                          <a:srcRect/>
                          <a:stretch>
                            <a:fillRect/>
                          </a:stretch>
                        </pic:blipFill>
                        <pic:spPr>
                          <a:xfrm>
                            <a:off x="0" y="0"/>
                            <a:ext cx="2757488" cy="2937324"/>
                          </a:xfrm>
                          <a:prstGeom prst="rect">
                            <a:avLst/>
                          </a:prstGeom>
                          <a:ln/>
                        </pic:spPr>
                      </pic:pic>
                    </a:graphicData>
                  </a:graphic>
                </wp:inline>
              </w:drawing>
            </w:r>
          </w:p>
          <w:p w14:paraId="1F15222C" w14:textId="77777777" w:rsidR="0078448E" w:rsidRDefault="00DF4D5D">
            <w:pPr>
              <w:pStyle w:val="normal0"/>
              <w:ind w:right="135" w:firstLine="90"/>
              <w:rPr>
                <w:rFonts w:ascii="Muli" w:eastAsia="Muli" w:hAnsi="Muli" w:cs="Muli"/>
                <w:b/>
                <w:color w:val="FFFFFF"/>
                <w:sz w:val="20"/>
                <w:szCs w:val="20"/>
              </w:rPr>
            </w:pPr>
            <w:r>
              <w:rPr>
                <w:rFonts w:ascii="Muli" w:eastAsia="Muli" w:hAnsi="Muli" w:cs="Muli"/>
                <w:b/>
                <w:color w:val="FF126D"/>
                <w:sz w:val="20"/>
                <w:szCs w:val="20"/>
              </w:rPr>
              <w:t>DQ1 TB pp. 3-16</w:t>
            </w:r>
          </w:p>
          <w:p w14:paraId="08CCADDB" w14:textId="77777777" w:rsidR="0078448E" w:rsidRDefault="0078448E">
            <w:pPr>
              <w:pStyle w:val="normal0"/>
              <w:pBdr>
                <w:top w:val="nil"/>
                <w:left w:val="nil"/>
                <w:bottom w:val="nil"/>
                <w:right w:val="nil"/>
                <w:between w:val="nil"/>
              </w:pBdr>
              <w:rPr>
                <w:rFonts w:ascii="Muli" w:eastAsia="Muli" w:hAnsi="Muli" w:cs="Muli"/>
                <w:b/>
                <w:color w:val="FFFFFF"/>
                <w:sz w:val="20"/>
                <w:szCs w:val="20"/>
              </w:rPr>
            </w:pPr>
          </w:p>
        </w:tc>
      </w:tr>
      <w:tr w:rsidR="0078448E" w14:paraId="1B04ECFF" w14:textId="77777777">
        <w:trPr>
          <w:trHeight w:val="1920"/>
        </w:trPr>
        <w:tc>
          <w:tcPr>
            <w:tcW w:w="8865" w:type="dxa"/>
          </w:tcPr>
          <w:p w14:paraId="5482E847" w14:textId="77777777" w:rsidR="0078448E" w:rsidRDefault="00DF4D5D">
            <w:pPr>
              <w:pStyle w:val="normal0"/>
              <w:numPr>
                <w:ilvl w:val="0"/>
                <w:numId w:val="16"/>
              </w:numPr>
              <w:ind w:right="135"/>
              <w:contextualSpacing/>
              <w:rPr>
                <w:rFonts w:ascii="Muli" w:eastAsia="Muli" w:hAnsi="Muli" w:cs="Muli"/>
                <w:sz w:val="20"/>
                <w:szCs w:val="20"/>
              </w:rPr>
            </w:pPr>
            <w:r>
              <w:rPr>
                <w:rFonts w:ascii="Muli" w:eastAsia="Muli" w:hAnsi="Muli" w:cs="Muli"/>
                <w:sz w:val="20"/>
                <w:szCs w:val="20"/>
              </w:rPr>
              <w:t>Students explore the phenomenon of interdependent relationships in ecosystems by carrying out a video investigation (DQ2L1 TB p. 19), close reading an informational text (</w:t>
            </w:r>
            <w:r>
              <w:rPr>
                <w:rFonts w:ascii="Muli" w:eastAsia="Muli" w:hAnsi="Muli" w:cs="Muli"/>
                <w:b/>
                <w:color w:val="FF126D"/>
                <w:sz w:val="20"/>
                <w:szCs w:val="20"/>
              </w:rPr>
              <w:t>DQ2L2 TB pp. 23</w:t>
            </w:r>
            <w:r>
              <w:rPr>
                <w:rFonts w:ascii="Muli" w:eastAsia="Muli" w:hAnsi="Muli" w:cs="Muli"/>
                <w:sz w:val="20"/>
                <w:szCs w:val="20"/>
              </w:rPr>
              <w:t>), and conducting collaborative research (DQ2L3 TB pp. 29–30). They then focus on the phenomenon of cycles of matter and energy transfer in ecosystems, modeling food chains (DQ2L4 TB p. 31) and food webs (DQ2L5 TB p. 34) before constructing scientific expl</w:t>
            </w:r>
            <w:r>
              <w:rPr>
                <w:rFonts w:ascii="Muli" w:eastAsia="Muli" w:hAnsi="Muli" w:cs="Muli"/>
                <w:sz w:val="20"/>
                <w:szCs w:val="20"/>
              </w:rPr>
              <w:t>anations using evidence and reasoning that answer the Driving Question (</w:t>
            </w:r>
            <w:r>
              <w:rPr>
                <w:rFonts w:ascii="Muli" w:eastAsia="Muli" w:hAnsi="Muli" w:cs="Muli"/>
                <w:b/>
                <w:color w:val="FF126D"/>
                <w:sz w:val="20"/>
                <w:szCs w:val="20"/>
              </w:rPr>
              <w:t>DQ2L6 TB pp. 35–36</w:t>
            </w:r>
            <w:r>
              <w:rPr>
                <w:rFonts w:ascii="Muli" w:eastAsia="Muli" w:hAnsi="Muli" w:cs="Muli"/>
                <w:sz w:val="20"/>
                <w:szCs w:val="20"/>
              </w:rPr>
              <w:t>).</w:t>
            </w:r>
          </w:p>
        </w:tc>
        <w:tc>
          <w:tcPr>
            <w:tcW w:w="5385" w:type="dxa"/>
          </w:tcPr>
          <w:p w14:paraId="3D15BD9D" w14:textId="77777777" w:rsidR="0078448E" w:rsidRDefault="00DF4D5D">
            <w:pPr>
              <w:pStyle w:val="normal0"/>
              <w:pBdr>
                <w:top w:val="nil"/>
                <w:left w:val="nil"/>
                <w:bottom w:val="nil"/>
                <w:right w:val="nil"/>
                <w:between w:val="nil"/>
              </w:pBdr>
              <w:ind w:left="180" w:hanging="90"/>
              <w:rPr>
                <w:rFonts w:ascii="Muli" w:eastAsia="Muli" w:hAnsi="Muli" w:cs="Muli"/>
                <w:b/>
                <w:sz w:val="20"/>
                <w:szCs w:val="20"/>
              </w:rPr>
            </w:pPr>
            <w:r>
              <w:rPr>
                <w:rFonts w:ascii="Muli" w:eastAsia="Muli" w:hAnsi="Muli" w:cs="Muli"/>
                <w:b/>
                <w:noProof/>
                <w:sz w:val="20"/>
                <w:szCs w:val="20"/>
              </w:rPr>
              <w:drawing>
                <wp:inline distT="114300" distB="114300" distL="114300" distR="114300" wp14:anchorId="4A6131BB" wp14:editId="0DBDB1B9">
                  <wp:extent cx="3262313" cy="1054933"/>
                  <wp:effectExtent l="12700" t="12700" r="12700" b="12700"/>
                  <wp:docPr id="6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
                          <a:srcRect/>
                          <a:stretch>
                            <a:fillRect/>
                          </a:stretch>
                        </pic:blipFill>
                        <pic:spPr>
                          <a:xfrm>
                            <a:off x="0" y="0"/>
                            <a:ext cx="3262313" cy="1054933"/>
                          </a:xfrm>
                          <a:prstGeom prst="rect">
                            <a:avLst/>
                          </a:prstGeom>
                          <a:ln w="12700">
                            <a:solidFill>
                              <a:srgbClr val="D9D9D9"/>
                            </a:solidFill>
                            <a:prstDash val="solid"/>
                          </a:ln>
                        </pic:spPr>
                      </pic:pic>
                    </a:graphicData>
                  </a:graphic>
                </wp:inline>
              </w:drawing>
            </w:r>
          </w:p>
          <w:p w14:paraId="0618175D" w14:textId="77777777" w:rsidR="0078448E" w:rsidRDefault="00DF4D5D">
            <w:pPr>
              <w:pStyle w:val="normal0"/>
              <w:ind w:left="180" w:right="135" w:hanging="90"/>
              <w:rPr>
                <w:rFonts w:ascii="Muli" w:eastAsia="Muli" w:hAnsi="Muli" w:cs="Muli"/>
                <w:b/>
                <w:color w:val="FF126D"/>
                <w:sz w:val="20"/>
                <w:szCs w:val="20"/>
              </w:rPr>
            </w:pPr>
            <w:r>
              <w:rPr>
                <w:rFonts w:ascii="Muli" w:eastAsia="Muli" w:hAnsi="Muli" w:cs="Muli"/>
                <w:b/>
                <w:color w:val="FF126D"/>
                <w:sz w:val="20"/>
                <w:szCs w:val="20"/>
              </w:rPr>
              <w:t>DQ2L2 TB pp. 23</w:t>
            </w:r>
          </w:p>
          <w:p w14:paraId="654510C4" w14:textId="77777777" w:rsidR="0078448E" w:rsidRDefault="0078448E">
            <w:pPr>
              <w:pStyle w:val="normal0"/>
              <w:ind w:left="180" w:right="135" w:hanging="90"/>
              <w:rPr>
                <w:rFonts w:ascii="Muli" w:eastAsia="Muli" w:hAnsi="Muli" w:cs="Muli"/>
                <w:b/>
                <w:color w:val="FF126D"/>
                <w:sz w:val="20"/>
                <w:szCs w:val="20"/>
              </w:rPr>
            </w:pPr>
          </w:p>
          <w:p w14:paraId="25A12212" w14:textId="77777777" w:rsidR="0078448E" w:rsidRDefault="00DF4D5D">
            <w:pPr>
              <w:pStyle w:val="normal0"/>
              <w:ind w:left="180" w:right="135" w:hanging="9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4157B111" wp14:editId="5C30AF1E">
                  <wp:extent cx="2814638" cy="3235303"/>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814638" cy="3235303"/>
                          </a:xfrm>
                          <a:prstGeom prst="rect">
                            <a:avLst/>
                          </a:prstGeom>
                          <a:ln/>
                        </pic:spPr>
                      </pic:pic>
                    </a:graphicData>
                  </a:graphic>
                </wp:inline>
              </w:drawing>
            </w:r>
          </w:p>
          <w:p w14:paraId="31A4D179" w14:textId="77777777" w:rsidR="0078448E" w:rsidRDefault="00DF4D5D">
            <w:pPr>
              <w:pStyle w:val="normal0"/>
              <w:ind w:left="180" w:right="135" w:hanging="90"/>
              <w:rPr>
                <w:rFonts w:ascii="Muli" w:eastAsia="Muli" w:hAnsi="Muli" w:cs="Muli"/>
                <w:b/>
                <w:color w:val="FF126D"/>
                <w:sz w:val="20"/>
                <w:szCs w:val="20"/>
              </w:rPr>
            </w:pPr>
            <w:r>
              <w:rPr>
                <w:rFonts w:ascii="Muli" w:eastAsia="Muli" w:hAnsi="Muli" w:cs="Muli"/>
                <w:b/>
                <w:color w:val="FF126D"/>
                <w:sz w:val="20"/>
                <w:szCs w:val="20"/>
              </w:rPr>
              <w:t>DQ2L6 TB pp. 35–36</w:t>
            </w:r>
          </w:p>
        </w:tc>
      </w:tr>
      <w:tr w:rsidR="0078448E" w14:paraId="3BAF8DE9" w14:textId="77777777">
        <w:trPr>
          <w:trHeight w:val="4700"/>
        </w:trPr>
        <w:tc>
          <w:tcPr>
            <w:tcW w:w="8865" w:type="dxa"/>
          </w:tcPr>
          <w:p w14:paraId="2704A48A" w14:textId="77777777" w:rsidR="0078448E" w:rsidRDefault="00DF4D5D">
            <w:pPr>
              <w:pStyle w:val="normal0"/>
              <w:numPr>
                <w:ilvl w:val="0"/>
                <w:numId w:val="16"/>
              </w:numPr>
              <w:ind w:right="135"/>
              <w:contextualSpacing/>
              <w:rPr>
                <w:rFonts w:ascii="Muli" w:eastAsia="Muli" w:hAnsi="Muli" w:cs="Muli"/>
                <w:sz w:val="20"/>
                <w:szCs w:val="20"/>
              </w:rPr>
            </w:pPr>
            <w:r>
              <w:rPr>
                <w:rFonts w:ascii="Muli" w:eastAsia="Muli" w:hAnsi="Muli" w:cs="Muli"/>
                <w:sz w:val="20"/>
                <w:szCs w:val="20"/>
              </w:rPr>
              <w:lastRenderedPageBreak/>
              <w:t>Students explore the phenomenon of energy in chemical processes and everyday life by going on an energy hunt around the school before reflecting on the Driving Question (</w:t>
            </w:r>
            <w:r>
              <w:rPr>
                <w:rFonts w:ascii="Muli" w:eastAsia="Muli" w:hAnsi="Muli" w:cs="Muli"/>
                <w:b/>
                <w:color w:val="FF126D"/>
                <w:sz w:val="20"/>
                <w:szCs w:val="20"/>
              </w:rPr>
              <w:t>DQ4L1 TB pp. 69–70</w:t>
            </w:r>
            <w:r>
              <w:rPr>
                <w:rFonts w:ascii="Muli" w:eastAsia="Muli" w:hAnsi="Muli" w:cs="Muli"/>
                <w:sz w:val="20"/>
                <w:szCs w:val="20"/>
              </w:rPr>
              <w:t>).</w:t>
            </w:r>
          </w:p>
        </w:tc>
        <w:tc>
          <w:tcPr>
            <w:tcW w:w="5385" w:type="dxa"/>
          </w:tcPr>
          <w:p w14:paraId="78291AEB"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52BAF8D9" wp14:editId="69E98CB3">
                  <wp:extent cx="2547938" cy="2797192"/>
                  <wp:effectExtent l="0" t="0" r="0" b="0"/>
                  <wp:docPr id="6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1"/>
                          <a:srcRect/>
                          <a:stretch>
                            <a:fillRect/>
                          </a:stretch>
                        </pic:blipFill>
                        <pic:spPr>
                          <a:xfrm>
                            <a:off x="0" y="0"/>
                            <a:ext cx="2547938" cy="2797192"/>
                          </a:xfrm>
                          <a:prstGeom prst="rect">
                            <a:avLst/>
                          </a:prstGeom>
                          <a:ln/>
                        </pic:spPr>
                      </pic:pic>
                    </a:graphicData>
                  </a:graphic>
                </wp:inline>
              </w:drawing>
            </w:r>
          </w:p>
          <w:p w14:paraId="5BFAB2F0"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t>DQ4L1 TB pp. 69–70</w:t>
            </w:r>
          </w:p>
        </w:tc>
      </w:tr>
      <w:tr w:rsidR="0078448E" w14:paraId="07CB9167" w14:textId="77777777">
        <w:trPr>
          <w:trHeight w:val="5000"/>
        </w:trPr>
        <w:tc>
          <w:tcPr>
            <w:tcW w:w="8865" w:type="dxa"/>
          </w:tcPr>
          <w:p w14:paraId="58E3ECA0" w14:textId="77777777" w:rsidR="0078448E" w:rsidRDefault="00DF4D5D">
            <w:pPr>
              <w:pStyle w:val="normal0"/>
              <w:numPr>
                <w:ilvl w:val="0"/>
                <w:numId w:val="16"/>
              </w:numPr>
              <w:ind w:right="135"/>
              <w:contextualSpacing/>
              <w:rPr>
                <w:rFonts w:ascii="Muli" w:eastAsia="Muli" w:hAnsi="Muli" w:cs="Muli"/>
                <w:sz w:val="20"/>
                <w:szCs w:val="20"/>
              </w:rPr>
            </w:pPr>
            <w:r>
              <w:rPr>
                <w:rFonts w:ascii="Muli" w:eastAsia="Muli" w:hAnsi="Muli" w:cs="Muli"/>
                <w:sz w:val="20"/>
                <w:szCs w:val="20"/>
              </w:rPr>
              <w:lastRenderedPageBreak/>
              <w:t>Students investigate the phenomenon of matter and energy flow in ecosystems using an interactive, exploring how energy flows from the Sun to producers, herbivores, and carnivores (</w:t>
            </w:r>
            <w:r>
              <w:rPr>
                <w:rFonts w:ascii="Muli" w:eastAsia="Muli" w:hAnsi="Muli" w:cs="Muli"/>
                <w:b/>
                <w:color w:val="FF126D"/>
                <w:sz w:val="20"/>
                <w:szCs w:val="20"/>
              </w:rPr>
              <w:t>DQ4L3 TB p. 81</w:t>
            </w:r>
            <w:r>
              <w:rPr>
                <w:rFonts w:ascii="Muli" w:eastAsia="Muli" w:hAnsi="Muli" w:cs="Muli"/>
                <w:sz w:val="20"/>
                <w:szCs w:val="20"/>
              </w:rPr>
              <w:t>).</w:t>
            </w:r>
          </w:p>
        </w:tc>
        <w:tc>
          <w:tcPr>
            <w:tcW w:w="5385" w:type="dxa"/>
          </w:tcPr>
          <w:p w14:paraId="3AF98CD1"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3FC79022" wp14:editId="65F151C6">
                  <wp:extent cx="2814638" cy="2845231"/>
                  <wp:effectExtent l="12700" t="12700" r="12700" b="12700"/>
                  <wp:docPr id="6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
                          <a:srcRect/>
                          <a:stretch>
                            <a:fillRect/>
                          </a:stretch>
                        </pic:blipFill>
                        <pic:spPr>
                          <a:xfrm>
                            <a:off x="0" y="0"/>
                            <a:ext cx="2814638" cy="2845231"/>
                          </a:xfrm>
                          <a:prstGeom prst="rect">
                            <a:avLst/>
                          </a:prstGeom>
                          <a:ln w="12700">
                            <a:solidFill>
                              <a:srgbClr val="D9D9D9"/>
                            </a:solidFill>
                            <a:prstDash val="solid"/>
                          </a:ln>
                        </pic:spPr>
                      </pic:pic>
                    </a:graphicData>
                  </a:graphic>
                </wp:inline>
              </w:drawing>
            </w:r>
          </w:p>
          <w:p w14:paraId="129C0DD6"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DQ4L3 TB p. 81</w:t>
            </w:r>
          </w:p>
        </w:tc>
      </w:tr>
      <w:tr w:rsidR="0078448E" w14:paraId="0D1AE321" w14:textId="77777777">
        <w:trPr>
          <w:trHeight w:val="3280"/>
        </w:trPr>
        <w:tc>
          <w:tcPr>
            <w:tcW w:w="8865" w:type="dxa"/>
          </w:tcPr>
          <w:p w14:paraId="2795DAE9"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Interwoven with this science narrative is</w:t>
            </w:r>
            <w:r>
              <w:rPr>
                <w:rFonts w:ascii="Muli" w:eastAsia="Muli" w:hAnsi="Muli" w:cs="Muli"/>
                <w:sz w:val="20"/>
                <w:szCs w:val="20"/>
              </w:rPr>
              <w:t xml:space="preserve"> a storyline that requires students to take on the role of ecologists working in Yellowstone National Park, observing plants and animals in order to understand this diverse ecosystem. They are introduced to the storyline through a movie-style </w:t>
            </w:r>
            <w:r>
              <w:rPr>
                <w:rFonts w:ascii="Muli" w:eastAsia="Muli" w:hAnsi="Muli" w:cs="Muli"/>
                <w:b/>
                <w:color w:val="FF126D"/>
                <w:sz w:val="20"/>
                <w:szCs w:val="20"/>
              </w:rPr>
              <w:t>module traile</w:t>
            </w:r>
            <w:r>
              <w:rPr>
                <w:rFonts w:ascii="Muli" w:eastAsia="Muli" w:hAnsi="Muli" w:cs="Muli"/>
                <w:b/>
                <w:color w:val="FF126D"/>
                <w:sz w:val="20"/>
                <w:szCs w:val="20"/>
              </w:rPr>
              <w:t>r</w:t>
            </w:r>
            <w:r>
              <w:rPr>
                <w:rFonts w:ascii="Muli" w:eastAsia="Muli" w:hAnsi="Muli" w:cs="Muli"/>
                <w:sz w:val="20"/>
                <w:szCs w:val="20"/>
              </w:rPr>
              <w:t>.</w:t>
            </w:r>
          </w:p>
          <w:p w14:paraId="3AFBE2DA" w14:textId="77777777" w:rsidR="0078448E" w:rsidRDefault="0078448E">
            <w:pPr>
              <w:pStyle w:val="normal0"/>
              <w:ind w:left="180" w:right="135"/>
              <w:rPr>
                <w:rFonts w:ascii="Muli" w:eastAsia="Muli" w:hAnsi="Muli" w:cs="Muli"/>
                <w:sz w:val="20"/>
                <w:szCs w:val="20"/>
              </w:rPr>
            </w:pPr>
          </w:p>
          <w:p w14:paraId="6C3AA69A"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 xml:space="preserve">The Module is complemented with </w:t>
            </w:r>
            <w:r>
              <w:rPr>
                <w:rFonts w:ascii="Muli" w:eastAsia="Muli" w:hAnsi="Muli" w:cs="Muli"/>
                <w:b/>
                <w:i/>
                <w:color w:val="FF126D"/>
                <w:sz w:val="20"/>
                <w:szCs w:val="20"/>
              </w:rPr>
              <w:t xml:space="preserve">The Galápagos Islands </w:t>
            </w:r>
            <w:r>
              <w:rPr>
                <w:rFonts w:ascii="Muli" w:eastAsia="Muli" w:hAnsi="Muli" w:cs="Muli"/>
                <w:b/>
                <w:color w:val="FF126D"/>
                <w:sz w:val="20"/>
                <w:szCs w:val="20"/>
              </w:rPr>
              <w:t>Leveled Reader</w:t>
            </w:r>
            <w:r>
              <w:rPr>
                <w:rFonts w:ascii="Muli" w:eastAsia="Muli" w:hAnsi="Muli" w:cs="Muli"/>
                <w:sz w:val="20"/>
                <w:szCs w:val="20"/>
              </w:rPr>
              <w:t>, a magazine-style leveled reader (available in four levels and Spanish) that provides additional exposure to relevant phenomena/problems, as well as an interview with an entomologist. Packed with stunning images, cartoons, and jokes, it’s designed to appe</w:t>
            </w:r>
            <w:r>
              <w:rPr>
                <w:rFonts w:ascii="Muli" w:eastAsia="Muli" w:hAnsi="Muli" w:cs="Muli"/>
                <w:sz w:val="20"/>
                <w:szCs w:val="20"/>
              </w:rPr>
              <w:t xml:space="preserve">al to students with a diverse range of learning abilities.  </w:t>
            </w:r>
          </w:p>
        </w:tc>
        <w:tc>
          <w:tcPr>
            <w:tcW w:w="5385" w:type="dxa"/>
          </w:tcPr>
          <w:p w14:paraId="211640E2" w14:textId="77777777" w:rsidR="0078448E" w:rsidRDefault="00DF4D5D">
            <w:pPr>
              <w:pStyle w:val="normal0"/>
              <w:ind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75DB0892" wp14:editId="6EE4BB9A">
                  <wp:extent cx="3195638" cy="1794199"/>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3195638" cy="1794199"/>
                          </a:xfrm>
                          <a:prstGeom prst="rect">
                            <a:avLst/>
                          </a:prstGeom>
                          <a:ln/>
                        </pic:spPr>
                      </pic:pic>
                    </a:graphicData>
                  </a:graphic>
                </wp:inline>
              </w:drawing>
            </w:r>
          </w:p>
          <w:p w14:paraId="6DC3D6F8" w14:textId="77777777" w:rsidR="0078448E" w:rsidRDefault="00DF4D5D">
            <w:pPr>
              <w:pStyle w:val="normal0"/>
              <w:ind w:firstLine="90"/>
              <w:rPr>
                <w:rFonts w:ascii="Muli" w:eastAsia="Muli" w:hAnsi="Muli" w:cs="Muli"/>
                <w:b/>
                <w:color w:val="FF126D"/>
                <w:sz w:val="20"/>
                <w:szCs w:val="20"/>
              </w:rPr>
            </w:pPr>
            <w:r>
              <w:rPr>
                <w:rFonts w:ascii="Muli" w:eastAsia="Muli" w:hAnsi="Muli" w:cs="Muli"/>
                <w:b/>
                <w:color w:val="FF126D"/>
                <w:sz w:val="20"/>
                <w:szCs w:val="20"/>
              </w:rPr>
              <w:t>Yellowstone Uncovered Module Trailer video</w:t>
            </w:r>
          </w:p>
        </w:tc>
      </w:tr>
      <w:tr w:rsidR="0078448E" w14:paraId="5B7E25D5" w14:textId="77777777" w:rsidTr="00AB15DC">
        <w:trPr>
          <w:trHeight w:val="9912"/>
        </w:trPr>
        <w:tc>
          <w:tcPr>
            <w:tcW w:w="8865" w:type="dxa"/>
          </w:tcPr>
          <w:p w14:paraId="5B88265A"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lastRenderedPageBreak/>
              <w:t xml:space="preserve">The Module is complemented with </w:t>
            </w:r>
            <w:r>
              <w:rPr>
                <w:rFonts w:ascii="Muli" w:eastAsia="Muli" w:hAnsi="Muli" w:cs="Muli"/>
                <w:b/>
                <w:i/>
                <w:color w:val="FF126D"/>
                <w:sz w:val="20"/>
                <w:szCs w:val="20"/>
              </w:rPr>
              <w:t xml:space="preserve">The Galápagos Islands </w:t>
            </w:r>
            <w:r>
              <w:rPr>
                <w:rFonts w:ascii="Muli" w:eastAsia="Muli" w:hAnsi="Muli" w:cs="Muli"/>
                <w:b/>
                <w:color w:val="FF126D"/>
                <w:sz w:val="20"/>
                <w:szCs w:val="20"/>
              </w:rPr>
              <w:t>Leveled Reader</w:t>
            </w:r>
            <w:r>
              <w:rPr>
                <w:rFonts w:ascii="Muli" w:eastAsia="Muli" w:hAnsi="Muli" w:cs="Muli"/>
                <w:sz w:val="20"/>
                <w:szCs w:val="20"/>
              </w:rPr>
              <w:t>, a magazine-style leveled reader (available in four levels and Spanish) that provides additional exposure to relevant phenomena/problems, as well as an interview with an entomologist. Packed with stunning images, cartoons, and jokes, it’s designed to appe</w:t>
            </w:r>
            <w:r>
              <w:rPr>
                <w:rFonts w:ascii="Muli" w:eastAsia="Muli" w:hAnsi="Muli" w:cs="Muli"/>
                <w:sz w:val="20"/>
                <w:szCs w:val="20"/>
              </w:rPr>
              <w:t>al to students with a diverse range of learning abilities.</w:t>
            </w:r>
          </w:p>
        </w:tc>
        <w:tc>
          <w:tcPr>
            <w:tcW w:w="5385" w:type="dxa"/>
          </w:tcPr>
          <w:p w14:paraId="113441D6" w14:textId="77777777" w:rsidR="0078448E" w:rsidRDefault="00DF4D5D">
            <w:pPr>
              <w:pStyle w:val="normal0"/>
              <w:ind w:firstLine="90"/>
              <w:rPr>
                <w:rFonts w:ascii="Muli" w:eastAsia="Muli" w:hAnsi="Muli" w:cs="Muli"/>
                <w:b/>
                <w:i/>
                <w:color w:val="FF126D"/>
                <w:sz w:val="20"/>
                <w:szCs w:val="20"/>
              </w:rPr>
            </w:pPr>
            <w:r>
              <w:rPr>
                <w:rFonts w:ascii="Muli" w:eastAsia="Muli" w:hAnsi="Muli" w:cs="Muli"/>
                <w:b/>
                <w:i/>
                <w:noProof/>
                <w:color w:val="FF126D"/>
                <w:sz w:val="20"/>
                <w:szCs w:val="20"/>
              </w:rPr>
              <w:drawing>
                <wp:inline distT="114300" distB="114300" distL="114300" distR="114300" wp14:anchorId="57FDF8CE" wp14:editId="453EEC66">
                  <wp:extent cx="3224213" cy="1612106"/>
                  <wp:effectExtent l="0" t="0" r="0" b="0"/>
                  <wp:docPr id="5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4"/>
                          <a:srcRect/>
                          <a:stretch>
                            <a:fillRect/>
                          </a:stretch>
                        </pic:blipFill>
                        <pic:spPr>
                          <a:xfrm>
                            <a:off x="0" y="0"/>
                            <a:ext cx="3224213" cy="1612106"/>
                          </a:xfrm>
                          <a:prstGeom prst="rect">
                            <a:avLst/>
                          </a:prstGeom>
                          <a:ln/>
                        </pic:spPr>
                      </pic:pic>
                    </a:graphicData>
                  </a:graphic>
                </wp:inline>
              </w:drawing>
            </w:r>
          </w:p>
          <w:p w14:paraId="1CCE5AE1" w14:textId="77777777" w:rsidR="0078448E" w:rsidRDefault="00DF4D5D">
            <w:pPr>
              <w:pStyle w:val="normal0"/>
              <w:ind w:firstLine="90"/>
              <w:rPr>
                <w:rFonts w:ascii="Muli" w:eastAsia="Muli" w:hAnsi="Muli" w:cs="Muli"/>
                <w:b/>
                <w:color w:val="FF126D"/>
                <w:sz w:val="20"/>
                <w:szCs w:val="20"/>
              </w:rPr>
            </w:pPr>
            <w:r>
              <w:rPr>
                <w:rFonts w:ascii="Muli" w:eastAsia="Muli" w:hAnsi="Muli" w:cs="Muli"/>
                <w:b/>
                <w:i/>
                <w:color w:val="FF126D"/>
                <w:sz w:val="20"/>
                <w:szCs w:val="20"/>
              </w:rPr>
              <w:t>The Galapagos Islands</w:t>
            </w:r>
            <w:r>
              <w:rPr>
                <w:rFonts w:ascii="Muli" w:eastAsia="Muli" w:hAnsi="Muli" w:cs="Muli"/>
                <w:b/>
                <w:color w:val="FF126D"/>
                <w:sz w:val="20"/>
                <w:szCs w:val="20"/>
              </w:rPr>
              <w:t xml:space="preserve"> Leveled Reader (Front Cover)</w:t>
            </w:r>
          </w:p>
          <w:p w14:paraId="33811CB1" w14:textId="77777777" w:rsidR="0078448E" w:rsidRDefault="0078448E">
            <w:pPr>
              <w:pStyle w:val="normal0"/>
              <w:ind w:firstLine="90"/>
              <w:rPr>
                <w:rFonts w:ascii="Muli" w:eastAsia="Muli" w:hAnsi="Muli" w:cs="Muli"/>
                <w:b/>
                <w:color w:val="FF126D"/>
                <w:sz w:val="20"/>
                <w:szCs w:val="20"/>
              </w:rPr>
            </w:pPr>
          </w:p>
          <w:p w14:paraId="7B36798E" w14:textId="77777777" w:rsidR="0078448E" w:rsidRDefault="00DF4D5D">
            <w:pPr>
              <w:pStyle w:val="normal0"/>
              <w:ind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9FFDEAC" wp14:editId="080E2941">
                  <wp:extent cx="3109913" cy="3135973"/>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5"/>
                          <a:srcRect/>
                          <a:stretch>
                            <a:fillRect/>
                          </a:stretch>
                        </pic:blipFill>
                        <pic:spPr>
                          <a:xfrm>
                            <a:off x="0" y="0"/>
                            <a:ext cx="3109913" cy="3135973"/>
                          </a:xfrm>
                          <a:prstGeom prst="rect">
                            <a:avLst/>
                          </a:prstGeom>
                          <a:ln/>
                        </pic:spPr>
                      </pic:pic>
                    </a:graphicData>
                  </a:graphic>
                </wp:inline>
              </w:drawing>
            </w:r>
          </w:p>
          <w:p w14:paraId="73E232D2" w14:textId="77777777" w:rsidR="0078448E" w:rsidRDefault="00DF4D5D">
            <w:pPr>
              <w:pStyle w:val="normal0"/>
              <w:ind w:firstLine="90"/>
              <w:rPr>
                <w:rFonts w:ascii="Muli" w:eastAsia="Muli" w:hAnsi="Muli" w:cs="Muli"/>
                <w:b/>
                <w:color w:val="FF126D"/>
                <w:sz w:val="20"/>
                <w:szCs w:val="20"/>
              </w:rPr>
            </w:pPr>
            <w:r>
              <w:rPr>
                <w:rFonts w:ascii="Muli" w:eastAsia="Muli" w:hAnsi="Muli" w:cs="Muli"/>
                <w:b/>
                <w:i/>
                <w:color w:val="FF126D"/>
                <w:sz w:val="20"/>
                <w:szCs w:val="20"/>
              </w:rPr>
              <w:t>The Galapagos Islands</w:t>
            </w:r>
            <w:r>
              <w:rPr>
                <w:rFonts w:ascii="Muli" w:eastAsia="Muli" w:hAnsi="Muli" w:cs="Muli"/>
                <w:b/>
                <w:color w:val="FF126D"/>
                <w:sz w:val="20"/>
                <w:szCs w:val="20"/>
              </w:rPr>
              <w:t xml:space="preserve"> Leveled Reader pp. 16-17</w:t>
            </w:r>
          </w:p>
          <w:p w14:paraId="47C49468" w14:textId="77777777" w:rsidR="0078448E" w:rsidRDefault="0078448E">
            <w:pPr>
              <w:pStyle w:val="normal0"/>
              <w:ind w:firstLine="90"/>
              <w:rPr>
                <w:rFonts w:ascii="Muli" w:eastAsia="Muli" w:hAnsi="Muli" w:cs="Muli"/>
                <w:b/>
                <w:color w:val="FF126D"/>
                <w:sz w:val="20"/>
                <w:szCs w:val="20"/>
              </w:rPr>
            </w:pPr>
          </w:p>
        </w:tc>
      </w:tr>
      <w:tr w:rsidR="0078448E" w14:paraId="592BD065" w14:textId="77777777">
        <w:trPr>
          <w:trHeight w:val="840"/>
        </w:trPr>
        <w:tc>
          <w:tcPr>
            <w:tcW w:w="14250" w:type="dxa"/>
            <w:gridSpan w:val="2"/>
            <w:shd w:val="clear" w:color="auto" w:fill="D9D9D9"/>
          </w:tcPr>
          <w:p w14:paraId="117E443C" w14:textId="77777777" w:rsidR="0078448E" w:rsidRDefault="00DF4D5D">
            <w:pPr>
              <w:pStyle w:val="normal0"/>
              <w:ind w:left="180" w:right="105"/>
              <w:rPr>
                <w:rFonts w:ascii="Muli" w:eastAsia="Muli" w:hAnsi="Muli" w:cs="Muli"/>
                <w:b/>
                <w:color w:val="2F5496"/>
                <w:sz w:val="20"/>
                <w:szCs w:val="20"/>
              </w:rPr>
            </w:pPr>
            <w:r>
              <w:rPr>
                <w:rFonts w:ascii="Muli" w:eastAsia="Muli" w:hAnsi="Muli" w:cs="Muli"/>
                <w:b/>
                <w:color w:val="2F5496"/>
                <w:sz w:val="20"/>
                <w:szCs w:val="20"/>
              </w:rPr>
              <w:lastRenderedPageBreak/>
              <w:t>SW2. Three-Dimensional Conceptual Framework.</w:t>
            </w:r>
          </w:p>
          <w:p w14:paraId="340C5BD5" w14:textId="77777777" w:rsidR="0078448E" w:rsidRDefault="00DF4D5D">
            <w:pPr>
              <w:pStyle w:val="normal0"/>
              <w:spacing w:before="1"/>
              <w:ind w:left="180" w:right="105"/>
              <w:rPr>
                <w:rFonts w:ascii="Muli" w:eastAsia="Muli" w:hAnsi="Muli" w:cs="Muli"/>
                <w:b/>
                <w:sz w:val="20"/>
                <w:szCs w:val="20"/>
              </w:rPr>
            </w:pPr>
            <w:proofErr w:type="gramStart"/>
            <w:r>
              <w:rPr>
                <w:rFonts w:ascii="Muli" w:eastAsia="Muli" w:hAnsi="Muli" w:cs="Muli"/>
                <w:sz w:val="20"/>
                <w:szCs w:val="20"/>
              </w:rPr>
              <w:t>Students</w:t>
            </w:r>
            <w:proofErr w:type="gramEnd"/>
            <w:r>
              <w:rPr>
                <w:rFonts w:ascii="Muli" w:eastAsia="Muli" w:hAnsi="Muli" w:cs="Muli"/>
                <w:sz w:val="20"/>
                <w:szCs w:val="20"/>
              </w:rPr>
              <w:t xml:space="preserve"> experiences consistently support them to use their prior knowledge to negotiate new understandings and abilities and apply their understandings in a variety of ways.</w:t>
            </w:r>
          </w:p>
        </w:tc>
      </w:tr>
      <w:tr w:rsidR="0078448E" w14:paraId="10BE3FD2" w14:textId="77777777">
        <w:trPr>
          <w:trHeight w:val="6380"/>
        </w:trPr>
        <w:tc>
          <w:tcPr>
            <w:tcW w:w="14250" w:type="dxa"/>
            <w:gridSpan w:val="2"/>
          </w:tcPr>
          <w:p w14:paraId="00E6A09E" w14:textId="77777777" w:rsidR="0078448E" w:rsidRDefault="0078448E">
            <w:pPr>
              <w:pStyle w:val="normal0"/>
              <w:ind w:left="180" w:right="135"/>
              <w:rPr>
                <w:rFonts w:ascii="Muli" w:eastAsia="Muli" w:hAnsi="Muli" w:cs="Muli"/>
                <w:sz w:val="20"/>
                <w:szCs w:val="20"/>
              </w:rPr>
            </w:pPr>
          </w:p>
          <w:p w14:paraId="2AAC6C6C"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In DQ1, students start by exploring what plants need to grow. They set up an in</w:t>
            </w:r>
            <w:r>
              <w:rPr>
                <w:rFonts w:ascii="Muli" w:eastAsia="Muli" w:hAnsi="Muli" w:cs="Muli"/>
                <w:sz w:val="20"/>
                <w:szCs w:val="20"/>
              </w:rPr>
              <w:t>vestigation into plant needs, applying the concepts of scale, proportion, and quantity (CCC-3)</w:t>
            </w:r>
            <w:proofErr w:type="gramStart"/>
            <w:r>
              <w:rPr>
                <w:rFonts w:ascii="Muli" w:eastAsia="Muli" w:hAnsi="Muli" w:cs="Muli"/>
                <w:sz w:val="20"/>
                <w:szCs w:val="20"/>
              </w:rPr>
              <w:t>,  and</w:t>
            </w:r>
            <w:proofErr w:type="gramEnd"/>
            <w:r>
              <w:rPr>
                <w:rFonts w:ascii="Muli" w:eastAsia="Muli" w:hAnsi="Muli" w:cs="Muli"/>
                <w:sz w:val="20"/>
                <w:szCs w:val="20"/>
              </w:rPr>
              <w:t xml:space="preserve"> observe the Van </w:t>
            </w:r>
            <w:proofErr w:type="spellStart"/>
            <w:r>
              <w:rPr>
                <w:rFonts w:ascii="Muli" w:eastAsia="Muli" w:hAnsi="Muli" w:cs="Muli"/>
                <w:sz w:val="20"/>
                <w:szCs w:val="20"/>
              </w:rPr>
              <w:t>Helmont</w:t>
            </w:r>
            <w:proofErr w:type="spellEnd"/>
            <w:r>
              <w:rPr>
                <w:rFonts w:ascii="Muli" w:eastAsia="Muli" w:hAnsi="Muli" w:cs="Muli"/>
                <w:sz w:val="20"/>
                <w:szCs w:val="20"/>
              </w:rPr>
              <w:t xml:space="preserve"> experiment set up in Module 1. Through observations and reading an informational text, they explore the phenomena of matter and ene</w:t>
            </w:r>
            <w:r>
              <w:rPr>
                <w:rFonts w:ascii="Muli" w:eastAsia="Muli" w:hAnsi="Muli" w:cs="Muli"/>
                <w:sz w:val="20"/>
                <w:szCs w:val="20"/>
              </w:rPr>
              <w:t>rgy flow in organisms (LS1.C).</w:t>
            </w:r>
          </w:p>
          <w:p w14:paraId="33C8265B" w14:textId="77777777" w:rsidR="0078448E" w:rsidRDefault="0078448E">
            <w:pPr>
              <w:pStyle w:val="normal0"/>
              <w:ind w:left="180" w:right="135"/>
              <w:rPr>
                <w:rFonts w:ascii="Muli" w:eastAsia="Muli" w:hAnsi="Muli" w:cs="Muli"/>
                <w:sz w:val="20"/>
                <w:szCs w:val="20"/>
              </w:rPr>
            </w:pPr>
          </w:p>
          <w:p w14:paraId="20743C1A"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In DQ2, students explore the phenomenon of matter and energy flow in ecosystems, engaging in video and reading investigations. They apply the concepts of energy and matter (CCC-5) and systems and system models (CCC-4) to mod</w:t>
            </w:r>
            <w:r>
              <w:rPr>
                <w:rFonts w:ascii="Muli" w:eastAsia="Muli" w:hAnsi="Muli" w:cs="Muli"/>
                <w:sz w:val="20"/>
                <w:szCs w:val="20"/>
              </w:rPr>
              <w:t xml:space="preserve">el food chains and food webs. This culminates in students writing scientific explanations to answer the Driving Question. </w:t>
            </w:r>
          </w:p>
          <w:p w14:paraId="263274C5" w14:textId="77777777" w:rsidR="0078448E" w:rsidRDefault="0078448E">
            <w:pPr>
              <w:pStyle w:val="normal0"/>
              <w:ind w:left="180" w:right="135"/>
              <w:rPr>
                <w:rFonts w:ascii="Muli" w:eastAsia="Muli" w:hAnsi="Muli" w:cs="Muli"/>
                <w:sz w:val="20"/>
                <w:szCs w:val="20"/>
              </w:rPr>
            </w:pPr>
          </w:p>
          <w:p w14:paraId="78B6780D"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In DQ3, students review and analyze the data from their two hands-on plant investigations and evaluate their findings. They consolid</w:t>
            </w:r>
            <w:r>
              <w:rPr>
                <w:rFonts w:ascii="Muli" w:eastAsia="Muli" w:hAnsi="Muli" w:cs="Muli"/>
                <w:sz w:val="20"/>
                <w:szCs w:val="20"/>
              </w:rPr>
              <w:t xml:space="preserve">ate </w:t>
            </w:r>
            <w:proofErr w:type="gramStart"/>
            <w:r>
              <w:rPr>
                <w:rFonts w:ascii="Muli" w:eastAsia="Muli" w:hAnsi="Muli" w:cs="Muli"/>
                <w:sz w:val="20"/>
                <w:szCs w:val="20"/>
              </w:rPr>
              <w:t>their</w:t>
            </w:r>
            <w:proofErr w:type="gramEnd"/>
            <w:r>
              <w:rPr>
                <w:rFonts w:ascii="Muli" w:eastAsia="Muli" w:hAnsi="Muli" w:cs="Muli"/>
                <w:sz w:val="20"/>
                <w:szCs w:val="20"/>
              </w:rPr>
              <w:t xml:space="preserve"> learning of matter and energy flow in organisms (LS1.C) by writing arguments from evidence that explain where plants get matter to grow. </w:t>
            </w:r>
          </w:p>
          <w:p w14:paraId="0B28820D" w14:textId="77777777" w:rsidR="0078448E" w:rsidRDefault="0078448E">
            <w:pPr>
              <w:pStyle w:val="normal0"/>
              <w:ind w:left="180" w:right="135"/>
              <w:rPr>
                <w:rFonts w:ascii="Muli" w:eastAsia="Muli" w:hAnsi="Muli" w:cs="Muli"/>
                <w:sz w:val="20"/>
                <w:szCs w:val="20"/>
              </w:rPr>
            </w:pPr>
          </w:p>
          <w:p w14:paraId="2C11D735"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In DQ4, students activate prior knowledge of energy, exploring the phenomenon of energy in chemical process</w:t>
            </w:r>
            <w:r>
              <w:rPr>
                <w:rFonts w:ascii="Muli" w:eastAsia="Muli" w:hAnsi="Muli" w:cs="Muli"/>
                <w:sz w:val="20"/>
                <w:szCs w:val="20"/>
              </w:rPr>
              <w:t xml:space="preserve">es and everyday life (PS3.D). They close read an informational text and use an interactive to model food chains, and apply the concept of cause and effect (CCC-2) to construct explanations about how energy moves through the food chain. </w:t>
            </w:r>
          </w:p>
          <w:p w14:paraId="4379E5B8" w14:textId="77777777" w:rsidR="0078448E" w:rsidRDefault="0078448E">
            <w:pPr>
              <w:pStyle w:val="normal0"/>
              <w:ind w:left="180" w:right="135"/>
              <w:rPr>
                <w:rFonts w:ascii="Muli" w:eastAsia="Muli" w:hAnsi="Muli" w:cs="Muli"/>
                <w:sz w:val="20"/>
                <w:szCs w:val="20"/>
              </w:rPr>
            </w:pPr>
          </w:p>
          <w:p w14:paraId="366E990A"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In DQ5, students t</w:t>
            </w:r>
            <w:r>
              <w:rPr>
                <w:rFonts w:ascii="Muli" w:eastAsia="Muli" w:hAnsi="Muli" w:cs="Muli"/>
                <w:sz w:val="20"/>
                <w:szCs w:val="20"/>
              </w:rPr>
              <w:t>urn to decomposition. They apply the concept of energy and matter (CCC-5) as they observe a guided experiment and then embark on a hands-on investigation to observe decomposition in the field. Their explorations and data collection culminate in written arg</w:t>
            </w:r>
            <w:r>
              <w:rPr>
                <w:rFonts w:ascii="Muli" w:eastAsia="Muli" w:hAnsi="Muli" w:cs="Muli"/>
                <w:sz w:val="20"/>
                <w:szCs w:val="20"/>
              </w:rPr>
              <w:t xml:space="preserve">uments they share with the class, demonstrating their understanding of cycles of matter and energy transfers in an ecosystem (LS2.B). </w:t>
            </w:r>
          </w:p>
          <w:p w14:paraId="4BF1DC44" w14:textId="77777777" w:rsidR="0078448E" w:rsidRDefault="0078448E">
            <w:pPr>
              <w:pStyle w:val="normal0"/>
              <w:ind w:left="180" w:right="135"/>
              <w:rPr>
                <w:rFonts w:ascii="Muli" w:eastAsia="Muli" w:hAnsi="Muli" w:cs="Muli"/>
                <w:sz w:val="20"/>
                <w:szCs w:val="20"/>
              </w:rPr>
            </w:pPr>
          </w:p>
          <w:p w14:paraId="189BE90F"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In DQ6, students close the module with a focus on the interdependent relationships in ecosystems (LS2.A). They apply the</w:t>
            </w:r>
            <w:r>
              <w:rPr>
                <w:rFonts w:ascii="Muli" w:eastAsia="Muli" w:hAnsi="Muli" w:cs="Muli"/>
                <w:sz w:val="20"/>
                <w:szCs w:val="20"/>
              </w:rPr>
              <w:t xml:space="preserve"> concepts of cause and effect (CCC-2) and stability and change (CCC-7) to examine what happens when a non-native species is introduced to an ecosystem. They explore this idea using an interactive and a final digital and video investigation. </w:t>
            </w:r>
          </w:p>
          <w:p w14:paraId="30489B73" w14:textId="77777777" w:rsidR="0078448E" w:rsidRDefault="0078448E">
            <w:pPr>
              <w:pStyle w:val="normal0"/>
              <w:ind w:left="180" w:right="135"/>
              <w:rPr>
                <w:rFonts w:ascii="Muli" w:eastAsia="Muli" w:hAnsi="Muli" w:cs="Muli"/>
                <w:sz w:val="20"/>
                <w:szCs w:val="20"/>
              </w:rPr>
            </w:pPr>
          </w:p>
          <w:p w14:paraId="6C804AB0"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The SEPs and CCCs that the students are using in each learning activity are labeled at point of use in the student addition called the Twig Book in grade-appropriate language.</w:t>
            </w:r>
          </w:p>
        </w:tc>
      </w:tr>
      <w:tr w:rsidR="0078448E" w14:paraId="0FEE1962" w14:textId="77777777">
        <w:trPr>
          <w:trHeight w:val="4880"/>
        </w:trPr>
        <w:tc>
          <w:tcPr>
            <w:tcW w:w="8865" w:type="dxa"/>
          </w:tcPr>
          <w:p w14:paraId="6DA314C2" w14:textId="77777777" w:rsidR="0078448E" w:rsidRDefault="0078448E">
            <w:pPr>
              <w:pStyle w:val="normal0"/>
              <w:ind w:left="180" w:right="135"/>
              <w:rPr>
                <w:rFonts w:ascii="Muli" w:eastAsia="Muli" w:hAnsi="Muli" w:cs="Muli"/>
                <w:b/>
                <w:color w:val="FF126D"/>
                <w:sz w:val="20"/>
                <w:szCs w:val="20"/>
              </w:rPr>
            </w:pPr>
          </w:p>
          <w:p w14:paraId="24603C88" w14:textId="77777777" w:rsidR="0078448E" w:rsidRDefault="00DF4D5D">
            <w:pPr>
              <w:pStyle w:val="normal0"/>
              <w:ind w:left="180" w:right="135"/>
              <w:rPr>
                <w:rFonts w:ascii="Muli" w:eastAsia="Muli" w:hAnsi="Muli" w:cs="Muli"/>
                <w:b/>
                <w:color w:val="FF126D"/>
                <w:sz w:val="20"/>
                <w:szCs w:val="20"/>
              </w:rPr>
            </w:pPr>
            <w:r>
              <w:rPr>
                <w:rFonts w:ascii="Muli" w:eastAsia="Muli" w:hAnsi="Muli" w:cs="Muli"/>
                <w:b/>
                <w:color w:val="FF126D"/>
                <w:sz w:val="20"/>
                <w:szCs w:val="20"/>
              </w:rPr>
              <w:t>Evidence</w:t>
            </w:r>
          </w:p>
          <w:p w14:paraId="1AFEF02C" w14:textId="77777777" w:rsidR="0078448E" w:rsidRDefault="00DF4D5D">
            <w:pPr>
              <w:pStyle w:val="normal0"/>
              <w:numPr>
                <w:ilvl w:val="0"/>
                <w:numId w:val="8"/>
              </w:numPr>
              <w:ind w:right="135"/>
              <w:contextualSpacing/>
              <w:rPr>
                <w:rFonts w:ascii="Muli" w:eastAsia="Muli" w:hAnsi="Muli" w:cs="Muli"/>
                <w:sz w:val="20"/>
                <w:szCs w:val="20"/>
              </w:rPr>
            </w:pPr>
            <w:r>
              <w:rPr>
                <w:rFonts w:ascii="Muli" w:eastAsia="Muli" w:hAnsi="Muli" w:cs="Muli"/>
                <w:sz w:val="20"/>
                <w:szCs w:val="20"/>
              </w:rPr>
              <w:t>Students build physical ecosystem models (</w:t>
            </w:r>
            <w:r>
              <w:rPr>
                <w:rFonts w:ascii="Muli" w:eastAsia="Muli" w:hAnsi="Muli" w:cs="Muli"/>
                <w:b/>
                <w:color w:val="FF126D"/>
                <w:sz w:val="20"/>
                <w:szCs w:val="20"/>
              </w:rPr>
              <w:t>DQ2L7 TB p. 38</w:t>
            </w:r>
            <w:proofErr w:type="gramStart"/>
            <w:r>
              <w:rPr>
                <w:rFonts w:ascii="Muli" w:eastAsia="Muli" w:hAnsi="Muli" w:cs="Muli"/>
                <w:sz w:val="20"/>
                <w:szCs w:val="20"/>
              </w:rPr>
              <w:t>) which</w:t>
            </w:r>
            <w:proofErr w:type="gramEnd"/>
            <w:r>
              <w:rPr>
                <w:rFonts w:ascii="Muli" w:eastAsia="Muli" w:hAnsi="Muli" w:cs="Muli"/>
                <w:sz w:val="20"/>
                <w:szCs w:val="20"/>
              </w:rPr>
              <w:t xml:space="preserve"> they </w:t>
            </w:r>
            <w:r>
              <w:rPr>
                <w:rFonts w:ascii="Muli" w:eastAsia="Muli" w:hAnsi="Muli" w:cs="Muli"/>
                <w:sz w:val="20"/>
                <w:szCs w:val="20"/>
              </w:rPr>
              <w:t>return to throughout the module, connecting their models to concepts like dead matter and decomposition.</w:t>
            </w:r>
          </w:p>
        </w:tc>
        <w:tc>
          <w:tcPr>
            <w:tcW w:w="5385" w:type="dxa"/>
          </w:tcPr>
          <w:p w14:paraId="41507564"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22516201" wp14:editId="27298D77">
                  <wp:extent cx="2490788" cy="2808904"/>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2490788" cy="2808904"/>
                          </a:xfrm>
                          <a:prstGeom prst="rect">
                            <a:avLst/>
                          </a:prstGeom>
                          <a:ln/>
                        </pic:spPr>
                      </pic:pic>
                    </a:graphicData>
                  </a:graphic>
                </wp:inline>
              </w:drawing>
            </w:r>
          </w:p>
          <w:p w14:paraId="46B45A04"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DQ2L7 TB p. 38</w:t>
            </w:r>
          </w:p>
        </w:tc>
      </w:tr>
      <w:tr w:rsidR="0078448E" w14:paraId="2BBC2A56" w14:textId="77777777">
        <w:trPr>
          <w:trHeight w:val="2260"/>
        </w:trPr>
        <w:tc>
          <w:tcPr>
            <w:tcW w:w="8865" w:type="dxa"/>
          </w:tcPr>
          <w:p w14:paraId="3C50747B" w14:textId="77777777" w:rsidR="0078448E" w:rsidRDefault="00DF4D5D">
            <w:pPr>
              <w:pStyle w:val="normal0"/>
              <w:numPr>
                <w:ilvl w:val="0"/>
                <w:numId w:val="8"/>
              </w:numPr>
              <w:ind w:right="135"/>
              <w:contextualSpacing/>
              <w:rPr>
                <w:rFonts w:ascii="Muli" w:eastAsia="Muli" w:hAnsi="Muli" w:cs="Muli"/>
                <w:sz w:val="20"/>
                <w:szCs w:val="20"/>
              </w:rPr>
            </w:pPr>
            <w:r>
              <w:rPr>
                <w:rFonts w:ascii="Muli" w:eastAsia="Muli" w:hAnsi="Muli" w:cs="Muli"/>
                <w:sz w:val="20"/>
                <w:szCs w:val="20"/>
              </w:rPr>
              <w:t>Students revisit their plant needs investigation, set up in DQ1, analyzing and interpreting data before representing that data in a bar graph (</w:t>
            </w:r>
            <w:r>
              <w:rPr>
                <w:rFonts w:ascii="Muli" w:eastAsia="Muli" w:hAnsi="Muli" w:cs="Muli"/>
                <w:b/>
                <w:color w:val="FF126D"/>
                <w:sz w:val="20"/>
                <w:szCs w:val="20"/>
              </w:rPr>
              <w:t>DQ3L1 TB pp. 45–48</w:t>
            </w:r>
            <w:r>
              <w:rPr>
                <w:rFonts w:ascii="Muli" w:eastAsia="Muli" w:hAnsi="Muli" w:cs="Muli"/>
                <w:sz w:val="20"/>
                <w:szCs w:val="20"/>
              </w:rPr>
              <w:t>).</w:t>
            </w:r>
          </w:p>
        </w:tc>
        <w:tc>
          <w:tcPr>
            <w:tcW w:w="5385" w:type="dxa"/>
          </w:tcPr>
          <w:p w14:paraId="75916F24"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0024E48D" wp14:editId="2260B24B">
                  <wp:extent cx="3205163" cy="1177966"/>
                  <wp:effectExtent l="0" t="0" r="0" b="0"/>
                  <wp:docPr id="5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r="4619"/>
                          <a:stretch>
                            <a:fillRect/>
                          </a:stretch>
                        </pic:blipFill>
                        <pic:spPr>
                          <a:xfrm>
                            <a:off x="0" y="0"/>
                            <a:ext cx="3205163" cy="1177966"/>
                          </a:xfrm>
                          <a:prstGeom prst="rect">
                            <a:avLst/>
                          </a:prstGeom>
                          <a:ln/>
                        </pic:spPr>
                      </pic:pic>
                    </a:graphicData>
                  </a:graphic>
                </wp:inline>
              </w:drawing>
            </w:r>
          </w:p>
          <w:p w14:paraId="6761BDD3"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DQ3L1 TB pp. 45–48</w:t>
            </w:r>
          </w:p>
        </w:tc>
      </w:tr>
      <w:tr w:rsidR="0078448E" w14:paraId="0B8F5B0A" w14:textId="77777777">
        <w:trPr>
          <w:trHeight w:val="4640"/>
        </w:trPr>
        <w:tc>
          <w:tcPr>
            <w:tcW w:w="8865" w:type="dxa"/>
          </w:tcPr>
          <w:p w14:paraId="6CB0E12F" w14:textId="77777777" w:rsidR="0078448E" w:rsidRDefault="00DF4D5D">
            <w:pPr>
              <w:pStyle w:val="normal0"/>
              <w:numPr>
                <w:ilvl w:val="0"/>
                <w:numId w:val="8"/>
              </w:numPr>
              <w:ind w:right="135"/>
              <w:contextualSpacing/>
              <w:rPr>
                <w:rFonts w:ascii="Muli" w:eastAsia="Muli" w:hAnsi="Muli" w:cs="Muli"/>
                <w:sz w:val="20"/>
                <w:szCs w:val="20"/>
              </w:rPr>
            </w:pPr>
            <w:r>
              <w:rPr>
                <w:rFonts w:ascii="Muli" w:eastAsia="Muli" w:hAnsi="Muli" w:cs="Muli"/>
                <w:sz w:val="20"/>
                <w:szCs w:val="20"/>
              </w:rPr>
              <w:lastRenderedPageBreak/>
              <w:t>Student pairs create physical models of matter cycling in an ecosystem (</w:t>
            </w:r>
            <w:r>
              <w:rPr>
                <w:rFonts w:ascii="Muli" w:eastAsia="Muli" w:hAnsi="Muli" w:cs="Muli"/>
                <w:b/>
                <w:color w:val="FF126D"/>
                <w:sz w:val="20"/>
                <w:szCs w:val="20"/>
              </w:rPr>
              <w:t>DQ5L3 TB p. 104</w:t>
            </w:r>
            <w:r>
              <w:rPr>
                <w:rFonts w:ascii="Muli" w:eastAsia="Muli" w:hAnsi="Muli" w:cs="Muli"/>
                <w:sz w:val="20"/>
                <w:szCs w:val="20"/>
              </w:rPr>
              <w:t>) and observe a guided experiment (</w:t>
            </w:r>
            <w:r>
              <w:rPr>
                <w:rFonts w:ascii="Muli" w:eastAsia="Muli" w:hAnsi="Muli" w:cs="Muli"/>
                <w:b/>
                <w:color w:val="FF126D"/>
                <w:sz w:val="20"/>
                <w:szCs w:val="20"/>
              </w:rPr>
              <w:t>DQ5L4 TB p. 107</w:t>
            </w:r>
            <w:r>
              <w:rPr>
                <w:rFonts w:ascii="Muli" w:eastAsia="Muli" w:hAnsi="Muli" w:cs="Muli"/>
                <w:sz w:val="20"/>
                <w:szCs w:val="20"/>
              </w:rPr>
              <w:t>) in order to understand the concept of decomposition.</w:t>
            </w:r>
          </w:p>
        </w:tc>
        <w:tc>
          <w:tcPr>
            <w:tcW w:w="5385" w:type="dxa"/>
          </w:tcPr>
          <w:p w14:paraId="58BBADE7"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72A49C25" wp14:editId="300728CF">
                  <wp:extent cx="3000375" cy="2663825"/>
                  <wp:effectExtent l="12700" t="12700" r="12700" b="12700"/>
                  <wp:docPr id="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b="5836"/>
                          <a:stretch>
                            <a:fillRect/>
                          </a:stretch>
                        </pic:blipFill>
                        <pic:spPr>
                          <a:xfrm>
                            <a:off x="0" y="0"/>
                            <a:ext cx="3000375" cy="2663825"/>
                          </a:xfrm>
                          <a:prstGeom prst="rect">
                            <a:avLst/>
                          </a:prstGeom>
                          <a:ln w="12700">
                            <a:solidFill>
                              <a:srgbClr val="D9D9D9"/>
                            </a:solidFill>
                            <a:prstDash val="solid"/>
                          </a:ln>
                        </pic:spPr>
                      </pic:pic>
                    </a:graphicData>
                  </a:graphic>
                </wp:inline>
              </w:drawing>
            </w:r>
          </w:p>
          <w:p w14:paraId="330B4B10" w14:textId="77777777" w:rsidR="0078448E" w:rsidRDefault="00DF4D5D">
            <w:pPr>
              <w:pStyle w:val="normal0"/>
              <w:ind w:left="90" w:right="135"/>
              <w:rPr>
                <w:rFonts w:ascii="Muli" w:eastAsia="Muli" w:hAnsi="Muli" w:cs="Muli"/>
                <w:b/>
                <w:color w:val="FF126D"/>
                <w:sz w:val="20"/>
                <w:szCs w:val="20"/>
              </w:rPr>
            </w:pPr>
            <w:r>
              <w:rPr>
                <w:rFonts w:ascii="Muli" w:eastAsia="Muli" w:hAnsi="Muli" w:cs="Muli"/>
                <w:b/>
                <w:color w:val="FF126D"/>
                <w:sz w:val="20"/>
                <w:szCs w:val="20"/>
              </w:rPr>
              <w:t>DQ5L3 TB p. 104</w:t>
            </w:r>
          </w:p>
          <w:p w14:paraId="534B7DFA" w14:textId="77777777" w:rsidR="0078448E" w:rsidRDefault="0078448E">
            <w:pPr>
              <w:pStyle w:val="normal0"/>
              <w:ind w:left="90" w:right="135"/>
              <w:rPr>
                <w:rFonts w:ascii="Muli" w:eastAsia="Muli" w:hAnsi="Muli" w:cs="Muli"/>
                <w:b/>
                <w:color w:val="FF126D"/>
                <w:sz w:val="20"/>
                <w:szCs w:val="20"/>
              </w:rPr>
            </w:pPr>
          </w:p>
          <w:p w14:paraId="122CBF82" w14:textId="77777777" w:rsidR="0078448E" w:rsidRDefault="00DF4D5D">
            <w:pPr>
              <w:pStyle w:val="normal0"/>
              <w:ind w:left="90" w:right="13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DB5604C" wp14:editId="523C07F1">
                  <wp:extent cx="2528888" cy="2941588"/>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2528888" cy="2941588"/>
                          </a:xfrm>
                          <a:prstGeom prst="rect">
                            <a:avLst/>
                          </a:prstGeom>
                          <a:ln/>
                        </pic:spPr>
                      </pic:pic>
                    </a:graphicData>
                  </a:graphic>
                </wp:inline>
              </w:drawing>
            </w:r>
          </w:p>
          <w:p w14:paraId="59BB8FFA" w14:textId="77777777" w:rsidR="0078448E" w:rsidRDefault="00DF4D5D">
            <w:pPr>
              <w:pStyle w:val="normal0"/>
              <w:ind w:left="90" w:right="135"/>
              <w:rPr>
                <w:rFonts w:ascii="Muli" w:eastAsia="Muli" w:hAnsi="Muli" w:cs="Muli"/>
                <w:b/>
                <w:color w:val="FF126D"/>
                <w:sz w:val="20"/>
                <w:szCs w:val="20"/>
              </w:rPr>
            </w:pPr>
            <w:r>
              <w:rPr>
                <w:rFonts w:ascii="Muli" w:eastAsia="Muli" w:hAnsi="Muli" w:cs="Muli"/>
                <w:b/>
                <w:color w:val="FF126D"/>
                <w:sz w:val="20"/>
                <w:szCs w:val="20"/>
              </w:rPr>
              <w:t>DQ5L4 TB p. 107</w:t>
            </w:r>
          </w:p>
        </w:tc>
      </w:tr>
      <w:tr w:rsidR="0078448E" w14:paraId="6A2A05CB" w14:textId="77777777">
        <w:trPr>
          <w:trHeight w:val="2580"/>
        </w:trPr>
        <w:tc>
          <w:tcPr>
            <w:tcW w:w="8865" w:type="dxa"/>
          </w:tcPr>
          <w:p w14:paraId="15A453B8" w14:textId="77777777" w:rsidR="0078448E" w:rsidRDefault="00DF4D5D">
            <w:pPr>
              <w:pStyle w:val="normal0"/>
              <w:numPr>
                <w:ilvl w:val="0"/>
                <w:numId w:val="8"/>
              </w:numPr>
              <w:ind w:right="135"/>
              <w:contextualSpacing/>
              <w:rPr>
                <w:rFonts w:ascii="Muli" w:eastAsia="Muli" w:hAnsi="Muli" w:cs="Muli"/>
                <w:sz w:val="20"/>
                <w:szCs w:val="20"/>
              </w:rPr>
            </w:pPr>
            <w:r>
              <w:rPr>
                <w:rFonts w:ascii="Muli" w:eastAsia="Muli" w:hAnsi="Muli" w:cs="Muli"/>
                <w:sz w:val="20"/>
                <w:szCs w:val="20"/>
              </w:rPr>
              <w:lastRenderedPageBreak/>
              <w:t>Students use an interactiv</w:t>
            </w:r>
            <w:r>
              <w:rPr>
                <w:rFonts w:ascii="Muli" w:eastAsia="Muli" w:hAnsi="Muli" w:cs="Muli"/>
                <w:sz w:val="20"/>
                <w:szCs w:val="20"/>
              </w:rPr>
              <w:t>e to model what happens when a non-native species is introduced to an ecosystem (</w:t>
            </w:r>
            <w:r>
              <w:rPr>
                <w:rFonts w:ascii="Muli" w:eastAsia="Muli" w:hAnsi="Muli" w:cs="Muli"/>
                <w:b/>
                <w:color w:val="FF126D"/>
                <w:sz w:val="20"/>
                <w:szCs w:val="20"/>
              </w:rPr>
              <w:t>DQ6L1 TB pp. 115–118</w:t>
            </w:r>
            <w:r>
              <w:rPr>
                <w:rFonts w:ascii="Muli" w:eastAsia="Muli" w:hAnsi="Muli" w:cs="Muli"/>
                <w:sz w:val="20"/>
                <w:szCs w:val="20"/>
              </w:rPr>
              <w:t>), consolidating their understanding of the Module Phenomenon.</w:t>
            </w:r>
          </w:p>
        </w:tc>
        <w:tc>
          <w:tcPr>
            <w:tcW w:w="5385" w:type="dxa"/>
          </w:tcPr>
          <w:p w14:paraId="5C2C7F73"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64099B90" wp14:editId="5FA1DC8B">
                  <wp:extent cx="2957513" cy="1323528"/>
                  <wp:effectExtent l="12700" t="12700" r="12700" b="127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r="1630" b="28148"/>
                          <a:stretch>
                            <a:fillRect/>
                          </a:stretch>
                        </pic:blipFill>
                        <pic:spPr>
                          <a:xfrm>
                            <a:off x="0" y="0"/>
                            <a:ext cx="2957513" cy="1323528"/>
                          </a:xfrm>
                          <a:prstGeom prst="rect">
                            <a:avLst/>
                          </a:prstGeom>
                          <a:ln w="12700">
                            <a:solidFill>
                              <a:srgbClr val="D9D9D9"/>
                            </a:solidFill>
                            <a:prstDash val="solid"/>
                          </a:ln>
                        </pic:spPr>
                      </pic:pic>
                    </a:graphicData>
                  </a:graphic>
                </wp:inline>
              </w:drawing>
            </w:r>
          </w:p>
          <w:p w14:paraId="3222552A"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DQ6L1 TB pp. 115–118</w:t>
            </w:r>
          </w:p>
        </w:tc>
      </w:tr>
      <w:tr w:rsidR="0078448E" w14:paraId="632CA147" w14:textId="77777777">
        <w:trPr>
          <w:trHeight w:val="540"/>
        </w:trPr>
        <w:tc>
          <w:tcPr>
            <w:tcW w:w="14250" w:type="dxa"/>
            <w:gridSpan w:val="2"/>
            <w:shd w:val="clear" w:color="auto" w:fill="D9D9D9"/>
          </w:tcPr>
          <w:p w14:paraId="692D3F45" w14:textId="77777777" w:rsidR="0078448E" w:rsidRDefault="00DF4D5D">
            <w:pPr>
              <w:pStyle w:val="normal0"/>
              <w:ind w:left="180" w:right="105"/>
              <w:rPr>
                <w:rFonts w:ascii="Muli" w:eastAsia="Muli" w:hAnsi="Muli" w:cs="Muli"/>
                <w:b/>
                <w:color w:val="2F5496"/>
                <w:sz w:val="20"/>
                <w:szCs w:val="20"/>
              </w:rPr>
            </w:pPr>
            <w:r>
              <w:rPr>
                <w:rFonts w:ascii="Muli" w:eastAsia="Muli" w:hAnsi="Muli" w:cs="Muli"/>
                <w:b/>
                <w:color w:val="2F5496"/>
                <w:sz w:val="20"/>
                <w:szCs w:val="20"/>
              </w:rPr>
              <w:t>SW3. Prior Knowledge.</w:t>
            </w:r>
          </w:p>
          <w:p w14:paraId="07E123F2" w14:textId="77777777" w:rsidR="0078448E" w:rsidRDefault="00DF4D5D">
            <w:pPr>
              <w:pStyle w:val="normal0"/>
              <w:ind w:left="180" w:right="105"/>
              <w:rPr>
                <w:rFonts w:ascii="Muli" w:eastAsia="Muli" w:hAnsi="Muli" w:cs="Muli"/>
                <w:b/>
                <w:sz w:val="20"/>
                <w:szCs w:val="20"/>
              </w:rPr>
            </w:pPr>
            <w:r>
              <w:rPr>
                <w:rFonts w:ascii="Muli" w:eastAsia="Muli" w:hAnsi="Muli" w:cs="Muli"/>
                <w:sz w:val="20"/>
                <w:szCs w:val="20"/>
              </w:rPr>
              <w:t>Materials consistently leverage student prior knowledge and experiences to motivate their learning.</w:t>
            </w:r>
          </w:p>
        </w:tc>
      </w:tr>
      <w:tr w:rsidR="0078448E" w14:paraId="064E8C06" w14:textId="77777777">
        <w:trPr>
          <w:trHeight w:val="3800"/>
        </w:trPr>
        <w:tc>
          <w:tcPr>
            <w:tcW w:w="14250" w:type="dxa"/>
            <w:gridSpan w:val="2"/>
          </w:tcPr>
          <w:p w14:paraId="4233FAA2" w14:textId="77777777" w:rsidR="0078448E" w:rsidRDefault="0078448E">
            <w:pPr>
              <w:pStyle w:val="normal0"/>
              <w:ind w:left="180" w:right="135"/>
              <w:rPr>
                <w:rFonts w:ascii="Muli" w:eastAsia="Muli" w:hAnsi="Muli" w:cs="Muli"/>
                <w:b/>
                <w:sz w:val="20"/>
                <w:szCs w:val="20"/>
              </w:rPr>
            </w:pPr>
          </w:p>
          <w:p w14:paraId="5F22EA86" w14:textId="77777777" w:rsidR="0078448E" w:rsidRDefault="00DF4D5D">
            <w:pPr>
              <w:pStyle w:val="normal0"/>
              <w:ind w:left="180" w:right="135"/>
              <w:rPr>
                <w:rFonts w:ascii="Muli" w:eastAsia="Muli" w:hAnsi="Muli" w:cs="Muli"/>
                <w:b/>
                <w:sz w:val="20"/>
                <w:szCs w:val="20"/>
              </w:rPr>
            </w:pPr>
            <w:r>
              <w:rPr>
                <w:rFonts w:ascii="Muli" w:eastAsia="Muli" w:hAnsi="Muli" w:cs="Muli"/>
                <w:b/>
                <w:sz w:val="20"/>
                <w:szCs w:val="20"/>
              </w:rPr>
              <w:t>Across Program</w:t>
            </w:r>
          </w:p>
          <w:p w14:paraId="598BF011" w14:textId="77777777" w:rsidR="0078448E" w:rsidRDefault="00DF4D5D">
            <w:pPr>
              <w:pStyle w:val="normal0"/>
              <w:ind w:left="180" w:right="135"/>
              <w:rPr>
                <w:rFonts w:ascii="Muli" w:eastAsia="Muli" w:hAnsi="Muli" w:cs="Muli"/>
                <w:b/>
                <w:sz w:val="20"/>
                <w:szCs w:val="20"/>
                <w:highlight w:val="yellow"/>
              </w:rPr>
            </w:pPr>
            <w:r>
              <w:rPr>
                <w:rFonts w:ascii="Muli" w:eastAsia="Muli" w:hAnsi="Muli" w:cs="Muli"/>
                <w:sz w:val="20"/>
                <w:szCs w:val="20"/>
              </w:rPr>
              <w:t>Yellowstone: Uncovered builds on prior knowledge of how plants and animals live and survive in their environments</w:t>
            </w:r>
            <w:r>
              <w:rPr>
                <w:rFonts w:ascii="Muli" w:eastAsia="Muli" w:hAnsi="Muli" w:cs="Muli"/>
                <w:b/>
                <w:sz w:val="20"/>
                <w:szCs w:val="20"/>
              </w:rPr>
              <w:t xml:space="preserve"> </w:t>
            </w:r>
            <w:r>
              <w:rPr>
                <w:rFonts w:ascii="Muli" w:eastAsia="Muli" w:hAnsi="Muli" w:cs="Muli"/>
                <w:sz w:val="20"/>
                <w:szCs w:val="20"/>
              </w:rPr>
              <w:t>in Grade K Module 1, Grad</w:t>
            </w:r>
            <w:r>
              <w:rPr>
                <w:rFonts w:ascii="Muli" w:eastAsia="Muli" w:hAnsi="Muli" w:cs="Muli"/>
                <w:sz w:val="20"/>
                <w:szCs w:val="20"/>
              </w:rPr>
              <w:t xml:space="preserve">e 2 Module 4, and Grade 3 Module 3. </w:t>
            </w:r>
          </w:p>
          <w:p w14:paraId="6885B0C3" w14:textId="77777777" w:rsidR="0078448E" w:rsidRDefault="0078448E">
            <w:pPr>
              <w:pStyle w:val="normal0"/>
              <w:ind w:left="180" w:right="135"/>
              <w:rPr>
                <w:rFonts w:ascii="Muli" w:eastAsia="Muli" w:hAnsi="Muli" w:cs="Muli"/>
                <w:b/>
                <w:sz w:val="20"/>
                <w:szCs w:val="20"/>
              </w:rPr>
            </w:pPr>
          </w:p>
          <w:p w14:paraId="6BDB1AF4" w14:textId="77777777" w:rsidR="0078448E" w:rsidRDefault="00DF4D5D">
            <w:pPr>
              <w:pStyle w:val="normal0"/>
              <w:ind w:left="180" w:right="135"/>
              <w:rPr>
                <w:rFonts w:ascii="Muli" w:eastAsia="Muli" w:hAnsi="Muli" w:cs="Muli"/>
                <w:b/>
                <w:sz w:val="20"/>
                <w:szCs w:val="20"/>
              </w:rPr>
            </w:pPr>
            <w:r>
              <w:rPr>
                <w:rFonts w:ascii="Muli" w:eastAsia="Muli" w:hAnsi="Muli" w:cs="Muli"/>
                <w:b/>
                <w:sz w:val="20"/>
                <w:szCs w:val="20"/>
              </w:rPr>
              <w:t>Within Module</w:t>
            </w:r>
          </w:p>
          <w:p w14:paraId="4FA5F4FB"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 xml:space="preserve">In DQ1L1, students activate their prior knowledge of Yellowstone as well as plants, animals, and matter by observing </w:t>
            </w:r>
            <w:proofErr w:type="gramStart"/>
            <w:r>
              <w:rPr>
                <w:rFonts w:ascii="Muli" w:eastAsia="Muli" w:hAnsi="Muli" w:cs="Muli"/>
                <w:sz w:val="20"/>
                <w:szCs w:val="20"/>
              </w:rPr>
              <w:t>a visual featuring scenes</w:t>
            </w:r>
            <w:proofErr w:type="gramEnd"/>
            <w:r>
              <w:rPr>
                <w:rFonts w:ascii="Muli" w:eastAsia="Muli" w:hAnsi="Muli" w:cs="Muli"/>
                <w:sz w:val="20"/>
                <w:szCs w:val="20"/>
              </w:rPr>
              <w:t xml:space="preserve"> from Yellowstone and reading a Prior-Knowledge Read-Aloud. Th</w:t>
            </w:r>
            <w:r>
              <w:rPr>
                <w:rFonts w:ascii="Muli" w:eastAsia="Muli" w:hAnsi="Muli" w:cs="Muli"/>
                <w:sz w:val="20"/>
                <w:szCs w:val="20"/>
              </w:rPr>
              <w:t>ey are prompted to think back to their exploration of energy and matter in Grade 5, Module 1, Matter Mysteries Hotline (CCC-5).</w:t>
            </w:r>
          </w:p>
          <w:p w14:paraId="2CB42238" w14:textId="77777777" w:rsidR="0078448E" w:rsidRDefault="0078448E">
            <w:pPr>
              <w:pStyle w:val="normal0"/>
              <w:ind w:left="180" w:right="135"/>
              <w:rPr>
                <w:rFonts w:ascii="Muli" w:eastAsia="Muli" w:hAnsi="Muli" w:cs="Muli"/>
                <w:sz w:val="20"/>
                <w:szCs w:val="20"/>
              </w:rPr>
            </w:pPr>
          </w:p>
          <w:p w14:paraId="15917A70"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Throughout the module students are consistently supported to revise their claims and relate their new understandings to answering the Driving Questions and solving the Module Phenomenon.</w:t>
            </w:r>
          </w:p>
          <w:p w14:paraId="0912E818" w14:textId="77777777" w:rsidR="0078448E" w:rsidRDefault="0078448E">
            <w:pPr>
              <w:pStyle w:val="normal0"/>
              <w:ind w:left="180" w:right="135"/>
              <w:rPr>
                <w:rFonts w:ascii="Muli" w:eastAsia="Muli" w:hAnsi="Muli" w:cs="Muli"/>
                <w:sz w:val="20"/>
                <w:szCs w:val="20"/>
              </w:rPr>
            </w:pPr>
          </w:p>
          <w:p w14:paraId="355E862F"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Throughout the module students refer and add to their classroom Scie</w:t>
            </w:r>
            <w:r>
              <w:rPr>
                <w:rFonts w:ascii="Muli" w:eastAsia="Muli" w:hAnsi="Muli" w:cs="Muli"/>
                <w:sz w:val="20"/>
                <w:szCs w:val="20"/>
              </w:rPr>
              <w:t xml:space="preserve">nce Tools Poster, which explicitly details their growing use of the SEPs, and motivates them by helping them </w:t>
            </w:r>
            <w:proofErr w:type="spellStart"/>
            <w:r>
              <w:rPr>
                <w:rFonts w:ascii="Muli" w:eastAsia="Muli" w:hAnsi="Muli" w:cs="Muli"/>
                <w:sz w:val="20"/>
                <w:szCs w:val="20"/>
              </w:rPr>
              <w:t>visualise</w:t>
            </w:r>
            <w:proofErr w:type="spellEnd"/>
            <w:r>
              <w:rPr>
                <w:rFonts w:ascii="Muli" w:eastAsia="Muli" w:hAnsi="Muli" w:cs="Muli"/>
                <w:sz w:val="20"/>
                <w:szCs w:val="20"/>
              </w:rPr>
              <w:t xml:space="preserve"> their progression.  </w:t>
            </w:r>
          </w:p>
        </w:tc>
      </w:tr>
      <w:tr w:rsidR="0078448E" w14:paraId="30FA72E3" w14:textId="77777777">
        <w:trPr>
          <w:trHeight w:val="1160"/>
        </w:trPr>
        <w:tc>
          <w:tcPr>
            <w:tcW w:w="8865" w:type="dxa"/>
          </w:tcPr>
          <w:p w14:paraId="0E5E7895" w14:textId="77777777" w:rsidR="0078448E" w:rsidRDefault="0078448E">
            <w:pPr>
              <w:pStyle w:val="normal0"/>
              <w:ind w:left="180" w:right="135"/>
              <w:rPr>
                <w:rFonts w:ascii="Muli" w:eastAsia="Muli" w:hAnsi="Muli" w:cs="Muli"/>
                <w:b/>
                <w:color w:val="FF126D"/>
                <w:sz w:val="20"/>
                <w:szCs w:val="20"/>
              </w:rPr>
            </w:pPr>
          </w:p>
          <w:p w14:paraId="59449AA8" w14:textId="77777777" w:rsidR="0078448E" w:rsidRDefault="00DF4D5D">
            <w:pPr>
              <w:pStyle w:val="normal0"/>
              <w:ind w:left="180" w:right="135"/>
              <w:rPr>
                <w:rFonts w:ascii="Muli" w:eastAsia="Muli" w:hAnsi="Muli" w:cs="Muli"/>
                <w:sz w:val="20"/>
                <w:szCs w:val="20"/>
              </w:rPr>
            </w:pPr>
            <w:r>
              <w:rPr>
                <w:rFonts w:ascii="Muli" w:eastAsia="Muli" w:hAnsi="Muli" w:cs="Muli"/>
                <w:b/>
                <w:color w:val="FF126D"/>
                <w:sz w:val="20"/>
                <w:szCs w:val="20"/>
              </w:rPr>
              <w:t>Evidence</w:t>
            </w:r>
          </w:p>
          <w:p w14:paraId="37EE1784" w14:textId="77777777" w:rsidR="0078448E" w:rsidRDefault="00DF4D5D">
            <w:pPr>
              <w:pStyle w:val="normal0"/>
              <w:numPr>
                <w:ilvl w:val="0"/>
                <w:numId w:val="11"/>
              </w:numPr>
              <w:ind w:right="135"/>
              <w:contextualSpacing/>
              <w:rPr>
                <w:rFonts w:ascii="Muli" w:eastAsia="Muli" w:hAnsi="Muli" w:cs="Muli"/>
                <w:sz w:val="20"/>
                <w:szCs w:val="20"/>
              </w:rPr>
            </w:pPr>
            <w:r>
              <w:rPr>
                <w:rFonts w:ascii="Muli" w:eastAsia="Muli" w:hAnsi="Muli" w:cs="Muli"/>
                <w:sz w:val="20"/>
                <w:szCs w:val="20"/>
              </w:rPr>
              <w:t>Students engage with a Prior-Knowledge Read-Aloud about animals, plants, and matter (</w:t>
            </w:r>
            <w:r>
              <w:rPr>
                <w:rFonts w:ascii="Muli" w:eastAsia="Muli" w:hAnsi="Muli" w:cs="Muli"/>
                <w:b/>
                <w:color w:val="FF126D"/>
                <w:sz w:val="20"/>
                <w:szCs w:val="20"/>
              </w:rPr>
              <w:t>DQ1L1 TE p. 8</w:t>
            </w:r>
            <w:r>
              <w:rPr>
                <w:rFonts w:ascii="Muli" w:eastAsia="Muli" w:hAnsi="Muli" w:cs="Muli"/>
                <w:sz w:val="20"/>
                <w:szCs w:val="20"/>
              </w:rPr>
              <w:t xml:space="preserve">).  </w:t>
            </w:r>
          </w:p>
        </w:tc>
        <w:tc>
          <w:tcPr>
            <w:tcW w:w="5385" w:type="dxa"/>
          </w:tcPr>
          <w:p w14:paraId="4408FFCA"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5F96BCA7" wp14:editId="34D02BAF">
                  <wp:extent cx="3090863" cy="1839399"/>
                  <wp:effectExtent l="12700" t="12700" r="12700" b="127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090863" cy="1839399"/>
                          </a:xfrm>
                          <a:prstGeom prst="rect">
                            <a:avLst/>
                          </a:prstGeom>
                          <a:ln w="12700">
                            <a:solidFill>
                              <a:srgbClr val="D9D9D9"/>
                            </a:solidFill>
                            <a:prstDash val="solid"/>
                          </a:ln>
                        </pic:spPr>
                      </pic:pic>
                    </a:graphicData>
                  </a:graphic>
                </wp:inline>
              </w:drawing>
            </w:r>
          </w:p>
          <w:p w14:paraId="2849C43F"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lastRenderedPageBreak/>
              <w:t>DQ1L1 TE p. 8</w:t>
            </w:r>
          </w:p>
        </w:tc>
      </w:tr>
      <w:tr w:rsidR="0078448E" w14:paraId="72CDAE3F" w14:textId="77777777">
        <w:trPr>
          <w:trHeight w:val="3600"/>
        </w:trPr>
        <w:tc>
          <w:tcPr>
            <w:tcW w:w="8865" w:type="dxa"/>
          </w:tcPr>
          <w:p w14:paraId="13164BAE" w14:textId="77777777" w:rsidR="0078448E" w:rsidRDefault="00DF4D5D">
            <w:pPr>
              <w:pStyle w:val="normal0"/>
              <w:numPr>
                <w:ilvl w:val="0"/>
                <w:numId w:val="11"/>
              </w:numPr>
              <w:ind w:right="135"/>
              <w:contextualSpacing/>
              <w:rPr>
                <w:rFonts w:ascii="Muli" w:eastAsia="Muli" w:hAnsi="Muli" w:cs="Muli"/>
                <w:sz w:val="20"/>
                <w:szCs w:val="20"/>
              </w:rPr>
            </w:pPr>
            <w:r>
              <w:rPr>
                <w:rFonts w:ascii="Muli" w:eastAsia="Muli" w:hAnsi="Muli" w:cs="Muli"/>
                <w:sz w:val="20"/>
                <w:szCs w:val="20"/>
              </w:rPr>
              <w:lastRenderedPageBreak/>
              <w:t>Students observe a series of slides from Yellowstone, activating their prior knowledge of the national park, its features, and some of the organisms that live in it (</w:t>
            </w:r>
            <w:r>
              <w:rPr>
                <w:rFonts w:ascii="Muli" w:eastAsia="Muli" w:hAnsi="Muli" w:cs="Muli"/>
                <w:b/>
                <w:color w:val="FF126D"/>
                <w:sz w:val="20"/>
                <w:szCs w:val="20"/>
              </w:rPr>
              <w:t>DQ1L1 TE p. 9</w:t>
            </w:r>
            <w:r>
              <w:rPr>
                <w:rFonts w:ascii="Muli" w:eastAsia="Muli" w:hAnsi="Muli" w:cs="Muli"/>
                <w:sz w:val="20"/>
                <w:szCs w:val="20"/>
              </w:rPr>
              <w:t xml:space="preserve">). </w:t>
            </w:r>
          </w:p>
        </w:tc>
        <w:tc>
          <w:tcPr>
            <w:tcW w:w="5385" w:type="dxa"/>
          </w:tcPr>
          <w:p w14:paraId="59620430"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3128AA52" wp14:editId="001AEC27">
                  <wp:extent cx="3005138" cy="1968038"/>
                  <wp:effectExtent l="12700" t="12700" r="12700" b="1270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3005138" cy="1968038"/>
                          </a:xfrm>
                          <a:prstGeom prst="rect">
                            <a:avLst/>
                          </a:prstGeom>
                          <a:ln w="12700">
                            <a:solidFill>
                              <a:srgbClr val="CCCCCC"/>
                            </a:solidFill>
                            <a:prstDash val="solid"/>
                          </a:ln>
                        </pic:spPr>
                      </pic:pic>
                    </a:graphicData>
                  </a:graphic>
                </wp:inline>
              </w:drawing>
            </w:r>
          </w:p>
          <w:p w14:paraId="20478533"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DQ1L1 TE p. 9</w:t>
            </w:r>
          </w:p>
        </w:tc>
      </w:tr>
      <w:tr w:rsidR="0078448E" w14:paraId="21D59359" w14:textId="77777777">
        <w:trPr>
          <w:trHeight w:val="3880"/>
        </w:trPr>
        <w:tc>
          <w:tcPr>
            <w:tcW w:w="8865" w:type="dxa"/>
          </w:tcPr>
          <w:p w14:paraId="57A293FB" w14:textId="77777777" w:rsidR="0078448E" w:rsidRDefault="00DF4D5D">
            <w:pPr>
              <w:pStyle w:val="normal0"/>
              <w:numPr>
                <w:ilvl w:val="0"/>
                <w:numId w:val="11"/>
              </w:numPr>
              <w:ind w:right="135"/>
              <w:contextualSpacing/>
              <w:rPr>
                <w:rFonts w:ascii="Muli" w:eastAsia="Muli" w:hAnsi="Muli" w:cs="Muli"/>
                <w:sz w:val="20"/>
                <w:szCs w:val="20"/>
              </w:rPr>
            </w:pPr>
            <w:r>
              <w:rPr>
                <w:rFonts w:ascii="Muli" w:eastAsia="Muli" w:hAnsi="Muli" w:cs="Muli"/>
                <w:sz w:val="20"/>
                <w:szCs w:val="20"/>
              </w:rPr>
              <w:t>Students review all the evidence they have gathered throughout the Driving Question and use it to construct scientific explanations (</w:t>
            </w:r>
            <w:r>
              <w:rPr>
                <w:rFonts w:ascii="Muli" w:eastAsia="Muli" w:hAnsi="Muli" w:cs="Muli"/>
                <w:b/>
                <w:color w:val="FF126D"/>
                <w:sz w:val="20"/>
                <w:szCs w:val="20"/>
              </w:rPr>
              <w:t xml:space="preserve">DQ2L6 TE p. 78, </w:t>
            </w:r>
            <w:r>
              <w:rPr>
                <w:rFonts w:ascii="Muli" w:eastAsia="Muli" w:hAnsi="Muli" w:cs="Muli"/>
                <w:sz w:val="20"/>
                <w:szCs w:val="20"/>
              </w:rPr>
              <w:t>TB pp. 35–36).</w:t>
            </w:r>
          </w:p>
        </w:tc>
        <w:tc>
          <w:tcPr>
            <w:tcW w:w="5385" w:type="dxa"/>
          </w:tcPr>
          <w:p w14:paraId="1313F002"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23E237E9" wp14:editId="3887B1C6">
                  <wp:extent cx="3100388" cy="2198916"/>
                  <wp:effectExtent l="12700" t="12700" r="12700" b="12700"/>
                  <wp:docPr id="4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3"/>
                          <a:srcRect/>
                          <a:stretch>
                            <a:fillRect/>
                          </a:stretch>
                        </pic:blipFill>
                        <pic:spPr>
                          <a:xfrm>
                            <a:off x="0" y="0"/>
                            <a:ext cx="3100388" cy="2198916"/>
                          </a:xfrm>
                          <a:prstGeom prst="rect">
                            <a:avLst/>
                          </a:prstGeom>
                          <a:ln w="12700">
                            <a:solidFill>
                              <a:srgbClr val="D9D9D9"/>
                            </a:solidFill>
                            <a:prstDash val="solid"/>
                          </a:ln>
                        </pic:spPr>
                      </pic:pic>
                    </a:graphicData>
                  </a:graphic>
                </wp:inline>
              </w:drawing>
            </w:r>
          </w:p>
          <w:p w14:paraId="7EEB3ECF"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t>DQ2L6 TE p. 78</w:t>
            </w:r>
          </w:p>
        </w:tc>
      </w:tr>
      <w:tr w:rsidR="0078448E" w14:paraId="35070C1B" w14:textId="77777777">
        <w:trPr>
          <w:trHeight w:val="3900"/>
        </w:trPr>
        <w:tc>
          <w:tcPr>
            <w:tcW w:w="8865" w:type="dxa"/>
          </w:tcPr>
          <w:p w14:paraId="19827275" w14:textId="77777777" w:rsidR="0078448E" w:rsidRDefault="00DF4D5D">
            <w:pPr>
              <w:pStyle w:val="normal0"/>
              <w:numPr>
                <w:ilvl w:val="0"/>
                <w:numId w:val="11"/>
              </w:numPr>
              <w:ind w:right="135"/>
              <w:contextualSpacing/>
              <w:rPr>
                <w:rFonts w:ascii="Muli" w:eastAsia="Muli" w:hAnsi="Muli" w:cs="Muli"/>
                <w:sz w:val="20"/>
                <w:szCs w:val="20"/>
              </w:rPr>
            </w:pPr>
            <w:r>
              <w:rPr>
                <w:rFonts w:ascii="Muli" w:eastAsia="Muli" w:hAnsi="Muli" w:cs="Muli"/>
                <w:sz w:val="20"/>
                <w:szCs w:val="20"/>
              </w:rPr>
              <w:lastRenderedPageBreak/>
              <w:t xml:space="preserve">Students review the science tools they’ve used and </w:t>
            </w:r>
            <w:proofErr w:type="gramStart"/>
            <w:r>
              <w:rPr>
                <w:rFonts w:ascii="Muli" w:eastAsia="Muli" w:hAnsi="Muli" w:cs="Muli"/>
                <w:sz w:val="20"/>
                <w:szCs w:val="20"/>
              </w:rPr>
              <w:t>add</w:t>
            </w:r>
            <w:proofErr w:type="gramEnd"/>
            <w:r>
              <w:rPr>
                <w:rFonts w:ascii="Muli" w:eastAsia="Muli" w:hAnsi="Muli" w:cs="Muli"/>
                <w:sz w:val="20"/>
                <w:szCs w:val="20"/>
              </w:rPr>
              <w:t xml:space="preserve"> “Ask questions” to </w:t>
            </w:r>
            <w:r>
              <w:rPr>
                <w:rFonts w:ascii="Muli" w:eastAsia="Muli" w:hAnsi="Muli" w:cs="Muli"/>
                <w:sz w:val="20"/>
                <w:szCs w:val="20"/>
              </w:rPr>
              <w:t>the Science Tools poster (</w:t>
            </w:r>
            <w:r>
              <w:rPr>
                <w:rFonts w:ascii="Muli" w:eastAsia="Muli" w:hAnsi="Muli" w:cs="Muli"/>
                <w:b/>
                <w:color w:val="FF126D"/>
                <w:sz w:val="20"/>
                <w:szCs w:val="20"/>
              </w:rPr>
              <w:t>DQ3L1 TE p. 97</w:t>
            </w:r>
            <w:r>
              <w:rPr>
                <w:rFonts w:ascii="Muli" w:eastAsia="Muli" w:hAnsi="Muli" w:cs="Muli"/>
                <w:sz w:val="20"/>
                <w:szCs w:val="20"/>
              </w:rPr>
              <w:t>).</w:t>
            </w:r>
          </w:p>
        </w:tc>
        <w:tc>
          <w:tcPr>
            <w:tcW w:w="5385" w:type="dxa"/>
          </w:tcPr>
          <w:p w14:paraId="3C6DC407"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48BBCFC5" wp14:editId="681EA669">
                  <wp:extent cx="1771650" cy="2162175"/>
                  <wp:effectExtent l="0" t="0" r="0" b="0"/>
                  <wp:docPr id="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1771650" cy="2162175"/>
                          </a:xfrm>
                          <a:prstGeom prst="rect">
                            <a:avLst/>
                          </a:prstGeom>
                          <a:ln/>
                        </pic:spPr>
                      </pic:pic>
                    </a:graphicData>
                  </a:graphic>
                </wp:inline>
              </w:drawing>
            </w:r>
          </w:p>
          <w:p w14:paraId="5A060BFF"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DQ3L1 TE p. 97</w:t>
            </w:r>
          </w:p>
        </w:tc>
      </w:tr>
      <w:tr w:rsidR="0078448E" w14:paraId="344C2BB2" w14:textId="77777777">
        <w:trPr>
          <w:trHeight w:val="5100"/>
        </w:trPr>
        <w:tc>
          <w:tcPr>
            <w:tcW w:w="8865" w:type="dxa"/>
          </w:tcPr>
          <w:p w14:paraId="6A6832CF" w14:textId="77777777" w:rsidR="0078448E" w:rsidRDefault="00DF4D5D">
            <w:pPr>
              <w:pStyle w:val="normal0"/>
              <w:numPr>
                <w:ilvl w:val="0"/>
                <w:numId w:val="11"/>
              </w:numPr>
              <w:ind w:right="135"/>
              <w:contextualSpacing/>
              <w:rPr>
                <w:rFonts w:ascii="Muli" w:eastAsia="Muli" w:hAnsi="Muli" w:cs="Muli"/>
                <w:sz w:val="20"/>
                <w:szCs w:val="20"/>
              </w:rPr>
            </w:pPr>
            <w:r>
              <w:rPr>
                <w:rFonts w:ascii="Muli" w:eastAsia="Muli" w:hAnsi="Muli" w:cs="Muli"/>
                <w:sz w:val="20"/>
                <w:szCs w:val="20"/>
              </w:rPr>
              <w:t>Students complete a diagnostic pre-assessment to elicit awareness of their prior knowledge and misconceptions of dead matter and decomposition (</w:t>
            </w:r>
            <w:r>
              <w:rPr>
                <w:rFonts w:ascii="Muli" w:eastAsia="Muli" w:hAnsi="Muli" w:cs="Muli"/>
                <w:b/>
                <w:color w:val="FF126D"/>
                <w:sz w:val="20"/>
                <w:szCs w:val="20"/>
              </w:rPr>
              <w:t>DQ4L4 TB p. 88</w:t>
            </w:r>
            <w:r>
              <w:rPr>
                <w:rFonts w:ascii="Muli" w:eastAsia="Muli" w:hAnsi="Muli" w:cs="Muli"/>
                <w:sz w:val="20"/>
                <w:szCs w:val="20"/>
              </w:rPr>
              <w:t>).</w:t>
            </w:r>
          </w:p>
        </w:tc>
        <w:tc>
          <w:tcPr>
            <w:tcW w:w="5385" w:type="dxa"/>
          </w:tcPr>
          <w:p w14:paraId="3A722895"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7AE2EEEB" wp14:editId="6EF4B956">
                  <wp:extent cx="2224088" cy="2957167"/>
                  <wp:effectExtent l="0" t="0" r="0" b="0"/>
                  <wp:docPr id="3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srcRect/>
                          <a:stretch>
                            <a:fillRect/>
                          </a:stretch>
                        </pic:blipFill>
                        <pic:spPr>
                          <a:xfrm>
                            <a:off x="0" y="0"/>
                            <a:ext cx="2224088" cy="2957167"/>
                          </a:xfrm>
                          <a:prstGeom prst="rect">
                            <a:avLst/>
                          </a:prstGeom>
                          <a:ln/>
                        </pic:spPr>
                      </pic:pic>
                    </a:graphicData>
                  </a:graphic>
                </wp:inline>
              </w:drawing>
            </w:r>
          </w:p>
          <w:p w14:paraId="488BBFDC"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DQ4L4 TB p. 88</w:t>
            </w:r>
          </w:p>
        </w:tc>
      </w:tr>
      <w:tr w:rsidR="0078448E" w14:paraId="65DC6200" w14:textId="77777777">
        <w:trPr>
          <w:trHeight w:val="5240"/>
        </w:trPr>
        <w:tc>
          <w:tcPr>
            <w:tcW w:w="8865" w:type="dxa"/>
          </w:tcPr>
          <w:p w14:paraId="69351E28" w14:textId="77777777" w:rsidR="0078448E" w:rsidRDefault="0078448E">
            <w:pPr>
              <w:pStyle w:val="normal0"/>
              <w:ind w:right="135"/>
              <w:rPr>
                <w:rFonts w:ascii="Muli" w:eastAsia="Muli" w:hAnsi="Muli" w:cs="Muli"/>
                <w:sz w:val="20"/>
                <w:szCs w:val="20"/>
              </w:rPr>
            </w:pPr>
          </w:p>
          <w:p w14:paraId="35D2E436" w14:textId="77777777" w:rsidR="0078448E" w:rsidRDefault="00DF4D5D">
            <w:pPr>
              <w:pStyle w:val="normal0"/>
              <w:numPr>
                <w:ilvl w:val="0"/>
                <w:numId w:val="11"/>
              </w:numPr>
              <w:ind w:right="135"/>
              <w:contextualSpacing/>
              <w:rPr>
                <w:rFonts w:ascii="Muli" w:eastAsia="Muli" w:hAnsi="Muli" w:cs="Muli"/>
                <w:sz w:val="20"/>
                <w:szCs w:val="20"/>
              </w:rPr>
            </w:pPr>
            <w:r>
              <w:rPr>
                <w:rFonts w:ascii="Muli" w:eastAsia="Muli" w:hAnsi="Muli" w:cs="Muli"/>
                <w:sz w:val="20"/>
                <w:szCs w:val="20"/>
              </w:rPr>
              <w:t>Following a collaborative language routine, students revise their explanations about how matter moves through an ecosystem (</w:t>
            </w:r>
            <w:r>
              <w:rPr>
                <w:rFonts w:ascii="Muli" w:eastAsia="Muli" w:hAnsi="Muli" w:cs="Muli"/>
                <w:b/>
                <w:color w:val="FF126D"/>
                <w:sz w:val="20"/>
                <w:szCs w:val="20"/>
              </w:rPr>
              <w:t>DQ5L4 TE p. 182</w:t>
            </w:r>
            <w:r>
              <w:rPr>
                <w:rFonts w:ascii="Muli" w:eastAsia="Muli" w:hAnsi="Muli" w:cs="Muli"/>
                <w:sz w:val="20"/>
                <w:szCs w:val="20"/>
              </w:rPr>
              <w:t>, TB p. 110).</w:t>
            </w:r>
          </w:p>
        </w:tc>
        <w:tc>
          <w:tcPr>
            <w:tcW w:w="5385" w:type="dxa"/>
          </w:tcPr>
          <w:p w14:paraId="7689B2DF"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3D76FDC5" wp14:editId="18F24D34">
                  <wp:extent cx="2747963" cy="2940624"/>
                  <wp:effectExtent l="12700" t="12700" r="12700" b="12700"/>
                  <wp:docPr id="4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
                          <a:srcRect/>
                          <a:stretch>
                            <a:fillRect/>
                          </a:stretch>
                        </pic:blipFill>
                        <pic:spPr>
                          <a:xfrm>
                            <a:off x="0" y="0"/>
                            <a:ext cx="2747963" cy="2940624"/>
                          </a:xfrm>
                          <a:prstGeom prst="rect">
                            <a:avLst/>
                          </a:prstGeom>
                          <a:ln w="12700">
                            <a:solidFill>
                              <a:srgbClr val="D9D9D9"/>
                            </a:solidFill>
                            <a:prstDash val="solid"/>
                          </a:ln>
                        </pic:spPr>
                      </pic:pic>
                    </a:graphicData>
                  </a:graphic>
                </wp:inline>
              </w:drawing>
            </w:r>
          </w:p>
          <w:p w14:paraId="1BA00B40"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t>DQ5L4 TE p. 182</w:t>
            </w:r>
          </w:p>
        </w:tc>
      </w:tr>
      <w:tr w:rsidR="0078448E" w14:paraId="52A6E91A" w14:textId="77777777">
        <w:trPr>
          <w:trHeight w:val="3340"/>
        </w:trPr>
        <w:tc>
          <w:tcPr>
            <w:tcW w:w="8865" w:type="dxa"/>
          </w:tcPr>
          <w:p w14:paraId="52A88C57" w14:textId="77777777" w:rsidR="0078448E" w:rsidRDefault="00DF4D5D">
            <w:pPr>
              <w:pStyle w:val="normal0"/>
              <w:numPr>
                <w:ilvl w:val="0"/>
                <w:numId w:val="11"/>
              </w:numPr>
              <w:ind w:right="135"/>
              <w:contextualSpacing/>
              <w:rPr>
                <w:rFonts w:ascii="Muli" w:eastAsia="Muli" w:hAnsi="Muli" w:cs="Muli"/>
                <w:sz w:val="20"/>
                <w:szCs w:val="20"/>
              </w:rPr>
            </w:pPr>
            <w:r>
              <w:rPr>
                <w:rFonts w:ascii="Muli" w:eastAsia="Muli" w:hAnsi="Muli" w:cs="Muli"/>
                <w:sz w:val="20"/>
                <w:szCs w:val="20"/>
              </w:rPr>
              <w:t>Students reflect on their new understandings and ideas about ecosystems, comparing and contrasting the Yellowstone ecosystem with other ecosystems they’ve studied in science class (</w:t>
            </w:r>
            <w:r>
              <w:rPr>
                <w:rFonts w:ascii="Muli" w:eastAsia="Muli" w:hAnsi="Muli" w:cs="Muli"/>
                <w:b/>
                <w:color w:val="FF126D"/>
                <w:sz w:val="20"/>
                <w:szCs w:val="20"/>
              </w:rPr>
              <w:t>DQ6L2 TE p. 208</w:t>
            </w:r>
            <w:r>
              <w:rPr>
                <w:rFonts w:ascii="Muli" w:eastAsia="Muli" w:hAnsi="Muli" w:cs="Muli"/>
                <w:color w:val="FF0000"/>
                <w:sz w:val="20"/>
                <w:szCs w:val="20"/>
              </w:rPr>
              <w:t xml:space="preserve">, </w:t>
            </w:r>
            <w:r>
              <w:rPr>
                <w:rFonts w:ascii="Muli" w:eastAsia="Muli" w:hAnsi="Muli" w:cs="Muli"/>
                <w:b/>
                <w:color w:val="FF0000"/>
                <w:sz w:val="20"/>
                <w:szCs w:val="20"/>
              </w:rPr>
              <w:t>TB p. 132</w:t>
            </w:r>
            <w:r>
              <w:rPr>
                <w:rFonts w:ascii="Muli" w:eastAsia="Muli" w:hAnsi="Muli" w:cs="Muli"/>
                <w:b/>
                <w:sz w:val="20"/>
                <w:szCs w:val="20"/>
              </w:rPr>
              <w:t>)</w:t>
            </w:r>
            <w:r>
              <w:rPr>
                <w:rFonts w:ascii="Muli" w:eastAsia="Muli" w:hAnsi="Muli" w:cs="Muli"/>
                <w:sz w:val="20"/>
                <w:szCs w:val="20"/>
              </w:rPr>
              <w:t>.</w:t>
            </w:r>
          </w:p>
        </w:tc>
        <w:tc>
          <w:tcPr>
            <w:tcW w:w="5385" w:type="dxa"/>
          </w:tcPr>
          <w:p w14:paraId="271CC67D"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2288872E" wp14:editId="6AB6A788">
                  <wp:extent cx="3157538" cy="1755167"/>
                  <wp:effectExtent l="12700" t="12700" r="12700" b="12700"/>
                  <wp:docPr id="6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7"/>
                          <a:srcRect/>
                          <a:stretch>
                            <a:fillRect/>
                          </a:stretch>
                        </pic:blipFill>
                        <pic:spPr>
                          <a:xfrm>
                            <a:off x="0" y="0"/>
                            <a:ext cx="3157538" cy="1755167"/>
                          </a:xfrm>
                          <a:prstGeom prst="rect">
                            <a:avLst/>
                          </a:prstGeom>
                          <a:ln w="12700">
                            <a:solidFill>
                              <a:srgbClr val="CCCCCC"/>
                            </a:solidFill>
                            <a:prstDash val="solid"/>
                          </a:ln>
                        </pic:spPr>
                      </pic:pic>
                    </a:graphicData>
                  </a:graphic>
                </wp:inline>
              </w:drawing>
            </w:r>
          </w:p>
          <w:p w14:paraId="15F77DEF"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DQ6L2 TE p. 208</w:t>
            </w:r>
          </w:p>
        </w:tc>
      </w:tr>
      <w:tr w:rsidR="0078448E" w14:paraId="56997AC0" w14:textId="77777777">
        <w:trPr>
          <w:trHeight w:val="620"/>
        </w:trPr>
        <w:tc>
          <w:tcPr>
            <w:tcW w:w="14250" w:type="dxa"/>
            <w:gridSpan w:val="2"/>
            <w:shd w:val="clear" w:color="auto" w:fill="D9D9D9"/>
          </w:tcPr>
          <w:p w14:paraId="68497BE2" w14:textId="77777777" w:rsidR="0078448E" w:rsidRDefault="00DF4D5D">
            <w:pPr>
              <w:pStyle w:val="normal0"/>
              <w:spacing w:before="1" w:line="242" w:lineRule="auto"/>
              <w:ind w:left="180" w:right="105"/>
              <w:rPr>
                <w:rFonts w:ascii="Muli" w:eastAsia="Muli" w:hAnsi="Muli" w:cs="Muli"/>
                <w:color w:val="2F5496"/>
                <w:sz w:val="20"/>
                <w:szCs w:val="20"/>
              </w:rPr>
            </w:pPr>
            <w:r>
              <w:rPr>
                <w:rFonts w:ascii="Muli" w:eastAsia="Muli" w:hAnsi="Muli" w:cs="Muli"/>
                <w:b/>
                <w:color w:val="2F5496"/>
                <w:sz w:val="20"/>
                <w:szCs w:val="20"/>
              </w:rPr>
              <w:t>SW4. Metacognitive Abilities</w:t>
            </w:r>
            <w:r>
              <w:rPr>
                <w:rFonts w:ascii="Muli" w:eastAsia="Muli" w:hAnsi="Muli" w:cs="Muli"/>
                <w:color w:val="2F5496"/>
                <w:sz w:val="20"/>
                <w:szCs w:val="20"/>
              </w:rPr>
              <w:t>.</w:t>
            </w:r>
          </w:p>
          <w:p w14:paraId="66228D74" w14:textId="77777777" w:rsidR="0078448E" w:rsidRDefault="00DF4D5D">
            <w:pPr>
              <w:pStyle w:val="normal0"/>
              <w:ind w:left="180" w:right="135"/>
              <w:rPr>
                <w:rFonts w:ascii="Muli" w:eastAsia="Muli" w:hAnsi="Muli" w:cs="Muli"/>
                <w:b/>
                <w:color w:val="2F5496"/>
                <w:sz w:val="20"/>
                <w:szCs w:val="20"/>
              </w:rPr>
            </w:pPr>
            <w:r>
              <w:rPr>
                <w:rFonts w:ascii="Muli" w:eastAsia="Muli" w:hAnsi="Muli" w:cs="Muli"/>
                <w:sz w:val="20"/>
                <w:szCs w:val="20"/>
              </w:rPr>
              <w:t>Yellowstone: Uncovered regularly provides students with explicit opportunities to consider how their learning experiences have changed their thinking.</w:t>
            </w:r>
          </w:p>
        </w:tc>
      </w:tr>
      <w:tr w:rsidR="0078448E" w14:paraId="0DC69A8B" w14:textId="77777777">
        <w:trPr>
          <w:trHeight w:val="2660"/>
        </w:trPr>
        <w:tc>
          <w:tcPr>
            <w:tcW w:w="8865" w:type="dxa"/>
          </w:tcPr>
          <w:p w14:paraId="5906E8E5"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lastRenderedPageBreak/>
              <w:t>Diagnostic pre-assessments (Pre-Explorations) in DQ1</w:t>
            </w:r>
            <w:r>
              <w:rPr>
                <w:rFonts w:ascii="Muli" w:eastAsia="Muli" w:hAnsi="Muli" w:cs="Muli"/>
                <w:color w:val="545454"/>
                <w:sz w:val="20"/>
                <w:szCs w:val="20"/>
                <w:highlight w:val="white"/>
              </w:rPr>
              <w:t>–</w:t>
            </w:r>
            <w:r>
              <w:rPr>
                <w:rFonts w:ascii="Muli" w:eastAsia="Muli" w:hAnsi="Muli" w:cs="Muli"/>
                <w:sz w:val="20"/>
                <w:szCs w:val="20"/>
              </w:rPr>
              <w:t xml:space="preserve">DQ4 support students to think about the three dimensions they are already familiar with and those they are not. </w:t>
            </w:r>
          </w:p>
          <w:p w14:paraId="79218E87" w14:textId="77777777" w:rsidR="0078448E" w:rsidRDefault="0078448E">
            <w:pPr>
              <w:pStyle w:val="normal0"/>
              <w:ind w:left="180" w:right="135"/>
              <w:rPr>
                <w:rFonts w:ascii="Muli" w:eastAsia="Muli" w:hAnsi="Muli" w:cs="Muli"/>
                <w:sz w:val="20"/>
                <w:szCs w:val="20"/>
              </w:rPr>
            </w:pPr>
          </w:p>
          <w:p w14:paraId="1765BC1E"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Additional opportunities to develop students' metacognitive abilities are frequently found in the Reflect of each lesson. Here, students use d</w:t>
            </w:r>
            <w:r>
              <w:rPr>
                <w:rFonts w:ascii="Muli" w:eastAsia="Muli" w:hAnsi="Muli" w:cs="Muli"/>
                <w:sz w:val="20"/>
                <w:szCs w:val="20"/>
              </w:rPr>
              <w:t>ifferent means to think about what they have learned so far and how they can use their new understandings to figure out phenomena/problems. For example, in DQ4, students reflect on why animals need energy and then share their ideas with the class (</w:t>
            </w:r>
            <w:r>
              <w:rPr>
                <w:rFonts w:ascii="Muli" w:eastAsia="Muli" w:hAnsi="Muli" w:cs="Muli"/>
                <w:b/>
                <w:color w:val="FF126D"/>
                <w:sz w:val="20"/>
                <w:szCs w:val="20"/>
              </w:rPr>
              <w:t>DQ4L1 TE</w:t>
            </w:r>
            <w:r>
              <w:rPr>
                <w:rFonts w:ascii="Muli" w:eastAsia="Muli" w:hAnsi="Muli" w:cs="Muli"/>
                <w:b/>
                <w:color w:val="FF126D"/>
                <w:sz w:val="20"/>
                <w:szCs w:val="20"/>
              </w:rPr>
              <w:t xml:space="preserve"> p. 129</w:t>
            </w:r>
            <w:r>
              <w:rPr>
                <w:rFonts w:ascii="Muli" w:eastAsia="Muli" w:hAnsi="Muli" w:cs="Muli"/>
                <w:sz w:val="20"/>
                <w:szCs w:val="20"/>
              </w:rPr>
              <w:t xml:space="preserve">). </w:t>
            </w:r>
          </w:p>
        </w:tc>
        <w:tc>
          <w:tcPr>
            <w:tcW w:w="5385" w:type="dxa"/>
          </w:tcPr>
          <w:p w14:paraId="34EE941B"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7C45F29B" wp14:editId="22791B39">
                  <wp:extent cx="3124200" cy="1409700"/>
                  <wp:effectExtent l="12700" t="12700" r="12700" b="127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l="2234" r="6145"/>
                          <a:stretch>
                            <a:fillRect/>
                          </a:stretch>
                        </pic:blipFill>
                        <pic:spPr>
                          <a:xfrm>
                            <a:off x="0" y="0"/>
                            <a:ext cx="3124200" cy="1409700"/>
                          </a:xfrm>
                          <a:prstGeom prst="rect">
                            <a:avLst/>
                          </a:prstGeom>
                          <a:ln w="12700">
                            <a:solidFill>
                              <a:srgbClr val="D9D9D9"/>
                            </a:solidFill>
                            <a:prstDash val="solid"/>
                          </a:ln>
                        </pic:spPr>
                      </pic:pic>
                    </a:graphicData>
                  </a:graphic>
                </wp:inline>
              </w:drawing>
            </w:r>
          </w:p>
          <w:p w14:paraId="3FB4950B"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DQ4L1 TE p. 129</w:t>
            </w:r>
          </w:p>
        </w:tc>
      </w:tr>
      <w:tr w:rsidR="0078448E" w14:paraId="332D0C6A" w14:textId="77777777">
        <w:trPr>
          <w:trHeight w:val="4240"/>
        </w:trPr>
        <w:tc>
          <w:tcPr>
            <w:tcW w:w="8865" w:type="dxa"/>
          </w:tcPr>
          <w:p w14:paraId="17238E48"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 can"</w:t>
            </w:r>
            <w:r>
              <w:rPr>
                <w:rFonts w:ascii="Muli" w:eastAsia="Muli" w:hAnsi="Muli" w:cs="Muli"/>
                <w:sz w:val="20"/>
                <w:szCs w:val="20"/>
              </w:rPr>
              <w:t xml:space="preserve"> statements written in grade appropriate language are detailed for each DQ, supporting students' awareness of their growing skills and knowledge and of the three dimensions that they will use to figure out phenomenon/solve problems. For example, in DQ5, "I</w:t>
            </w:r>
            <w:r>
              <w:rPr>
                <w:rFonts w:ascii="Muli" w:eastAsia="Muli" w:hAnsi="Muli" w:cs="Muli"/>
                <w:sz w:val="20"/>
                <w:szCs w:val="20"/>
              </w:rPr>
              <w:t xml:space="preserve"> can... Investigate where dead matter goes in an ecosystem" (</w:t>
            </w:r>
            <w:r>
              <w:rPr>
                <w:rFonts w:ascii="Muli" w:eastAsia="Muli" w:hAnsi="Muli" w:cs="Muli"/>
                <w:b/>
                <w:color w:val="FF126D"/>
                <w:sz w:val="20"/>
                <w:szCs w:val="20"/>
              </w:rPr>
              <w:t>DQ5 TB p. 90</w:t>
            </w:r>
            <w:r>
              <w:rPr>
                <w:rFonts w:ascii="Muli" w:eastAsia="Muli" w:hAnsi="Muli" w:cs="Muli"/>
                <w:sz w:val="20"/>
                <w:szCs w:val="20"/>
              </w:rPr>
              <w:t>).</w:t>
            </w:r>
          </w:p>
        </w:tc>
        <w:tc>
          <w:tcPr>
            <w:tcW w:w="5385" w:type="dxa"/>
          </w:tcPr>
          <w:p w14:paraId="4A161415"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1B161760" wp14:editId="398B8429">
                  <wp:extent cx="2252663" cy="2412964"/>
                  <wp:effectExtent l="0" t="0" r="0" b="0"/>
                  <wp:docPr id="6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9"/>
                          <a:srcRect/>
                          <a:stretch>
                            <a:fillRect/>
                          </a:stretch>
                        </pic:blipFill>
                        <pic:spPr>
                          <a:xfrm>
                            <a:off x="0" y="0"/>
                            <a:ext cx="2252663" cy="2412964"/>
                          </a:xfrm>
                          <a:prstGeom prst="rect">
                            <a:avLst/>
                          </a:prstGeom>
                          <a:ln/>
                        </pic:spPr>
                      </pic:pic>
                    </a:graphicData>
                  </a:graphic>
                </wp:inline>
              </w:drawing>
            </w:r>
          </w:p>
          <w:p w14:paraId="4C0D3EBF"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DQ5 TB p. 90</w:t>
            </w:r>
          </w:p>
        </w:tc>
      </w:tr>
      <w:tr w:rsidR="0078448E" w14:paraId="29FD3019" w14:textId="77777777">
        <w:trPr>
          <w:trHeight w:val="2160"/>
        </w:trPr>
        <w:tc>
          <w:tcPr>
            <w:tcW w:w="8865" w:type="dxa"/>
          </w:tcPr>
          <w:p w14:paraId="62420EFB" w14:textId="77777777" w:rsidR="0078448E" w:rsidRDefault="0078448E">
            <w:pPr>
              <w:pStyle w:val="normal0"/>
              <w:ind w:left="180" w:right="135"/>
              <w:rPr>
                <w:rFonts w:ascii="Muli" w:eastAsia="Muli" w:hAnsi="Muli" w:cs="Muli"/>
                <w:b/>
                <w:color w:val="FF126D"/>
                <w:sz w:val="20"/>
                <w:szCs w:val="20"/>
              </w:rPr>
            </w:pPr>
          </w:p>
          <w:p w14:paraId="1B45902C" w14:textId="77777777" w:rsidR="0078448E" w:rsidRDefault="00DF4D5D">
            <w:pPr>
              <w:pStyle w:val="normal0"/>
              <w:ind w:left="180" w:right="135"/>
              <w:rPr>
                <w:rFonts w:ascii="Muli" w:eastAsia="Muli" w:hAnsi="Muli" w:cs="Muli"/>
                <w:b/>
                <w:color w:val="FF126D"/>
                <w:sz w:val="20"/>
                <w:szCs w:val="20"/>
              </w:rPr>
            </w:pPr>
            <w:r>
              <w:rPr>
                <w:rFonts w:ascii="Muli" w:eastAsia="Muli" w:hAnsi="Muli" w:cs="Muli"/>
                <w:b/>
                <w:color w:val="FF126D"/>
                <w:sz w:val="20"/>
                <w:szCs w:val="20"/>
              </w:rPr>
              <w:t>Evidence</w:t>
            </w:r>
          </w:p>
          <w:p w14:paraId="56B8AB6B" w14:textId="77777777" w:rsidR="0078448E" w:rsidRDefault="00DF4D5D">
            <w:pPr>
              <w:pStyle w:val="normal0"/>
              <w:numPr>
                <w:ilvl w:val="0"/>
                <w:numId w:val="1"/>
              </w:numPr>
              <w:ind w:right="135"/>
              <w:contextualSpacing/>
              <w:rPr>
                <w:rFonts w:ascii="Muli" w:eastAsia="Muli" w:hAnsi="Muli" w:cs="Muli"/>
                <w:sz w:val="20"/>
                <w:szCs w:val="20"/>
              </w:rPr>
            </w:pPr>
            <w:r>
              <w:rPr>
                <w:rFonts w:ascii="Muli" w:eastAsia="Muli" w:hAnsi="Muli" w:cs="Muli"/>
                <w:sz w:val="20"/>
                <w:szCs w:val="20"/>
              </w:rPr>
              <w:t>Students close read and annotate an informational text, which the class works to summarize following a discussion (</w:t>
            </w:r>
            <w:r>
              <w:rPr>
                <w:rFonts w:ascii="Muli" w:eastAsia="Muli" w:hAnsi="Muli" w:cs="Muli"/>
                <w:b/>
                <w:color w:val="FF126D"/>
                <w:sz w:val="20"/>
                <w:szCs w:val="20"/>
              </w:rPr>
              <w:t>DQ1L3 TE pp. 23–24</w:t>
            </w:r>
            <w:r>
              <w:rPr>
                <w:rFonts w:ascii="Muli" w:eastAsia="Muli" w:hAnsi="Muli" w:cs="Muli"/>
                <w:sz w:val="20"/>
                <w:szCs w:val="20"/>
              </w:rPr>
              <w:t>).</w:t>
            </w:r>
          </w:p>
        </w:tc>
        <w:tc>
          <w:tcPr>
            <w:tcW w:w="5385" w:type="dxa"/>
          </w:tcPr>
          <w:p w14:paraId="059513FF"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3859DAE8" wp14:editId="6A2FD118">
                  <wp:extent cx="3186113" cy="1023472"/>
                  <wp:effectExtent l="12700" t="12700" r="12700" b="1270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3186113" cy="1023472"/>
                          </a:xfrm>
                          <a:prstGeom prst="rect">
                            <a:avLst/>
                          </a:prstGeom>
                          <a:ln w="12700">
                            <a:solidFill>
                              <a:srgbClr val="D9D9D9"/>
                            </a:solidFill>
                            <a:prstDash val="solid"/>
                          </a:ln>
                        </pic:spPr>
                      </pic:pic>
                    </a:graphicData>
                  </a:graphic>
                </wp:inline>
              </w:drawing>
            </w:r>
          </w:p>
          <w:p w14:paraId="432CD53C"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t>DQ1L3 TE pp. 23–24</w:t>
            </w:r>
          </w:p>
        </w:tc>
      </w:tr>
      <w:tr w:rsidR="0078448E" w14:paraId="041C1895" w14:textId="77777777">
        <w:trPr>
          <w:trHeight w:val="2300"/>
        </w:trPr>
        <w:tc>
          <w:tcPr>
            <w:tcW w:w="8865" w:type="dxa"/>
          </w:tcPr>
          <w:p w14:paraId="712AE5A1" w14:textId="77777777" w:rsidR="0078448E" w:rsidRDefault="00DF4D5D">
            <w:pPr>
              <w:pStyle w:val="normal0"/>
              <w:numPr>
                <w:ilvl w:val="0"/>
                <w:numId w:val="1"/>
              </w:numPr>
              <w:ind w:right="135"/>
              <w:contextualSpacing/>
              <w:rPr>
                <w:rFonts w:ascii="Muli" w:eastAsia="Muli" w:hAnsi="Muli" w:cs="Muli"/>
                <w:sz w:val="20"/>
                <w:szCs w:val="20"/>
              </w:rPr>
            </w:pPr>
            <w:r>
              <w:rPr>
                <w:rFonts w:ascii="Muli" w:eastAsia="Muli" w:hAnsi="Muli" w:cs="Muli"/>
                <w:sz w:val="20"/>
                <w:szCs w:val="20"/>
              </w:rPr>
              <w:lastRenderedPageBreak/>
              <w:t>Students consider how their learning experiences have changed their understanding</w:t>
            </w:r>
            <w:r>
              <w:rPr>
                <w:rFonts w:ascii="Muli" w:eastAsia="Muli" w:hAnsi="Muli" w:cs="Muli"/>
                <w:color w:val="0000FF"/>
                <w:sz w:val="20"/>
                <w:szCs w:val="20"/>
              </w:rPr>
              <w:t xml:space="preserve"> </w:t>
            </w:r>
            <w:r>
              <w:rPr>
                <w:rFonts w:ascii="Muli" w:eastAsia="Muli" w:hAnsi="Muli" w:cs="Muli"/>
                <w:sz w:val="20"/>
                <w:szCs w:val="20"/>
              </w:rPr>
              <w:t>of what animals need to grow and heal, and share what they still wonder (</w:t>
            </w:r>
            <w:r>
              <w:rPr>
                <w:rFonts w:ascii="Muli" w:eastAsia="Muli" w:hAnsi="Muli" w:cs="Muli"/>
                <w:b/>
                <w:color w:val="FF126D"/>
                <w:sz w:val="20"/>
                <w:szCs w:val="20"/>
              </w:rPr>
              <w:t>DQ2L6 TB p. 37</w:t>
            </w:r>
            <w:r>
              <w:rPr>
                <w:rFonts w:ascii="Muli" w:eastAsia="Muli" w:hAnsi="Muli" w:cs="Muli"/>
                <w:sz w:val="20"/>
                <w:szCs w:val="20"/>
              </w:rPr>
              <w:t>).</w:t>
            </w:r>
          </w:p>
        </w:tc>
        <w:tc>
          <w:tcPr>
            <w:tcW w:w="5385" w:type="dxa"/>
          </w:tcPr>
          <w:p w14:paraId="15B83452"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47756541" wp14:editId="7DBA38CA">
                  <wp:extent cx="3148013" cy="1160720"/>
                  <wp:effectExtent l="12700" t="12700" r="12700" b="127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148013" cy="1160720"/>
                          </a:xfrm>
                          <a:prstGeom prst="rect">
                            <a:avLst/>
                          </a:prstGeom>
                          <a:ln w="12700">
                            <a:solidFill>
                              <a:srgbClr val="D9D9D9"/>
                            </a:solidFill>
                            <a:prstDash val="solid"/>
                          </a:ln>
                        </pic:spPr>
                      </pic:pic>
                    </a:graphicData>
                  </a:graphic>
                </wp:inline>
              </w:drawing>
            </w:r>
          </w:p>
          <w:p w14:paraId="56BBF7BE"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t>DQ2L6 TB p. 37</w:t>
            </w:r>
          </w:p>
        </w:tc>
      </w:tr>
      <w:tr w:rsidR="0078448E" w14:paraId="7655F5E9" w14:textId="77777777">
        <w:trPr>
          <w:trHeight w:val="1380"/>
        </w:trPr>
        <w:tc>
          <w:tcPr>
            <w:tcW w:w="8865" w:type="dxa"/>
          </w:tcPr>
          <w:p w14:paraId="44E7B677" w14:textId="77777777" w:rsidR="0078448E" w:rsidRDefault="00DF4D5D">
            <w:pPr>
              <w:pStyle w:val="normal0"/>
              <w:numPr>
                <w:ilvl w:val="0"/>
                <w:numId w:val="1"/>
              </w:numPr>
              <w:ind w:right="135"/>
              <w:contextualSpacing/>
              <w:rPr>
                <w:rFonts w:ascii="Muli" w:eastAsia="Muli" w:hAnsi="Muli" w:cs="Muli"/>
                <w:sz w:val="20"/>
                <w:szCs w:val="20"/>
              </w:rPr>
            </w:pPr>
            <w:r>
              <w:rPr>
                <w:rFonts w:ascii="Muli" w:eastAsia="Muli" w:hAnsi="Muli" w:cs="Muli"/>
                <w:sz w:val="20"/>
                <w:szCs w:val="20"/>
              </w:rPr>
              <w:t>Students reflect on their two hands-on plant investigations as they consider how they know if a plant has grown or not (</w:t>
            </w:r>
            <w:r>
              <w:rPr>
                <w:rFonts w:ascii="Muli" w:eastAsia="Muli" w:hAnsi="Muli" w:cs="Muli"/>
                <w:b/>
                <w:color w:val="FF126D"/>
                <w:sz w:val="20"/>
                <w:szCs w:val="20"/>
              </w:rPr>
              <w:t>DQ3L2 TE pp. 100–101</w:t>
            </w:r>
            <w:r>
              <w:rPr>
                <w:rFonts w:ascii="Muli" w:eastAsia="Muli" w:hAnsi="Muli" w:cs="Muli"/>
                <w:sz w:val="20"/>
                <w:szCs w:val="20"/>
              </w:rPr>
              <w:t>, TB p. 52).</w:t>
            </w:r>
          </w:p>
        </w:tc>
        <w:tc>
          <w:tcPr>
            <w:tcW w:w="5385" w:type="dxa"/>
          </w:tcPr>
          <w:p w14:paraId="084FBEC3" w14:textId="77777777" w:rsidR="0078448E" w:rsidRDefault="00DF4D5D">
            <w:pPr>
              <w:pStyle w:val="normal0"/>
              <w:pBdr>
                <w:top w:val="nil"/>
                <w:left w:val="nil"/>
                <w:bottom w:val="nil"/>
                <w:right w:val="nil"/>
                <w:between w:val="nil"/>
              </w:pBdr>
              <w:rPr>
                <w:rFonts w:ascii="Muli" w:eastAsia="Muli" w:hAnsi="Muli" w:cs="Muli"/>
                <w:b/>
                <w:sz w:val="20"/>
                <w:szCs w:val="20"/>
              </w:rPr>
            </w:pPr>
            <w:r>
              <w:rPr>
                <w:rFonts w:ascii="Muli" w:eastAsia="Muli" w:hAnsi="Muli" w:cs="Muli"/>
                <w:b/>
                <w:noProof/>
                <w:sz w:val="20"/>
                <w:szCs w:val="20"/>
              </w:rPr>
              <w:drawing>
                <wp:inline distT="114300" distB="114300" distL="114300" distR="114300" wp14:anchorId="6C2196D7" wp14:editId="5FA4A0E0">
                  <wp:extent cx="2862263" cy="3427423"/>
                  <wp:effectExtent l="12700" t="12700" r="12700" b="12700"/>
                  <wp:docPr id="5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1"/>
                          <a:srcRect/>
                          <a:stretch>
                            <a:fillRect/>
                          </a:stretch>
                        </pic:blipFill>
                        <pic:spPr>
                          <a:xfrm>
                            <a:off x="0" y="0"/>
                            <a:ext cx="2862263" cy="3427423"/>
                          </a:xfrm>
                          <a:prstGeom prst="rect">
                            <a:avLst/>
                          </a:prstGeom>
                          <a:ln w="12700">
                            <a:solidFill>
                              <a:srgbClr val="D9D9D9"/>
                            </a:solidFill>
                            <a:prstDash val="solid"/>
                          </a:ln>
                        </pic:spPr>
                      </pic:pic>
                    </a:graphicData>
                  </a:graphic>
                </wp:inline>
              </w:drawing>
            </w:r>
          </w:p>
        </w:tc>
      </w:tr>
      <w:tr w:rsidR="0078448E" w14:paraId="7652EF51" w14:textId="77777777">
        <w:trPr>
          <w:trHeight w:val="4240"/>
        </w:trPr>
        <w:tc>
          <w:tcPr>
            <w:tcW w:w="8865" w:type="dxa"/>
          </w:tcPr>
          <w:p w14:paraId="5AC7D8E4" w14:textId="77777777" w:rsidR="0078448E" w:rsidRDefault="00DF4D5D">
            <w:pPr>
              <w:pStyle w:val="normal0"/>
              <w:numPr>
                <w:ilvl w:val="0"/>
                <w:numId w:val="1"/>
              </w:numPr>
              <w:ind w:right="135"/>
              <w:contextualSpacing/>
              <w:rPr>
                <w:rFonts w:ascii="Muli" w:eastAsia="Muli" w:hAnsi="Muli" w:cs="Muli"/>
                <w:sz w:val="20"/>
                <w:szCs w:val="20"/>
              </w:rPr>
            </w:pPr>
            <w:r>
              <w:rPr>
                <w:rFonts w:ascii="Muli" w:eastAsia="Muli" w:hAnsi="Muli" w:cs="Muli"/>
                <w:sz w:val="20"/>
                <w:szCs w:val="20"/>
              </w:rPr>
              <w:lastRenderedPageBreak/>
              <w:t>The “I can” statement details use of the three dimensions students will use in this DQ. "I can... In</w:t>
            </w:r>
            <w:r>
              <w:rPr>
                <w:rFonts w:ascii="Muli" w:eastAsia="Muli" w:hAnsi="Muli" w:cs="Muli"/>
                <w:sz w:val="20"/>
                <w:szCs w:val="20"/>
              </w:rPr>
              <w:t>vestigate where dead matter goes in an ecosystem" (</w:t>
            </w:r>
            <w:r>
              <w:rPr>
                <w:rFonts w:ascii="Muli" w:eastAsia="Muli" w:hAnsi="Muli" w:cs="Muli"/>
                <w:b/>
                <w:color w:val="FF126D"/>
                <w:sz w:val="20"/>
                <w:szCs w:val="20"/>
              </w:rPr>
              <w:t>DQ5 TB p. 90</w:t>
            </w:r>
            <w:r>
              <w:rPr>
                <w:rFonts w:ascii="Muli" w:eastAsia="Muli" w:hAnsi="Muli" w:cs="Muli"/>
                <w:sz w:val="20"/>
                <w:szCs w:val="20"/>
              </w:rPr>
              <w:t>).</w:t>
            </w:r>
          </w:p>
        </w:tc>
        <w:tc>
          <w:tcPr>
            <w:tcW w:w="5385" w:type="dxa"/>
          </w:tcPr>
          <w:p w14:paraId="3FD87660"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49BCAB6F" wp14:editId="6609970A">
                  <wp:extent cx="2252663" cy="2413567"/>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2252663" cy="2413567"/>
                          </a:xfrm>
                          <a:prstGeom prst="rect">
                            <a:avLst/>
                          </a:prstGeom>
                          <a:ln/>
                        </pic:spPr>
                      </pic:pic>
                    </a:graphicData>
                  </a:graphic>
                </wp:inline>
              </w:drawing>
            </w:r>
          </w:p>
          <w:p w14:paraId="6E4208A7"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DQ5 TB p. 90</w:t>
            </w:r>
          </w:p>
        </w:tc>
      </w:tr>
      <w:tr w:rsidR="0078448E" w14:paraId="64DCD210" w14:textId="77777777">
        <w:trPr>
          <w:trHeight w:val="3660"/>
        </w:trPr>
        <w:tc>
          <w:tcPr>
            <w:tcW w:w="8865" w:type="dxa"/>
          </w:tcPr>
          <w:p w14:paraId="66B3F1FB" w14:textId="77777777" w:rsidR="0078448E" w:rsidRDefault="00DF4D5D">
            <w:pPr>
              <w:pStyle w:val="normal0"/>
              <w:numPr>
                <w:ilvl w:val="0"/>
                <w:numId w:val="1"/>
              </w:numPr>
              <w:ind w:right="135"/>
              <w:contextualSpacing/>
              <w:rPr>
                <w:rFonts w:ascii="Muli" w:eastAsia="Muli" w:hAnsi="Muli" w:cs="Muli"/>
                <w:sz w:val="20"/>
                <w:szCs w:val="20"/>
              </w:rPr>
            </w:pPr>
            <w:r>
              <w:rPr>
                <w:rFonts w:ascii="Muli" w:eastAsia="Muli" w:hAnsi="Muli" w:cs="Muli"/>
                <w:sz w:val="20"/>
                <w:szCs w:val="20"/>
              </w:rPr>
              <w:t>Students use a rubric to reflect on and self-assess their scientific arguments, writing how they think they could improve them (</w:t>
            </w:r>
            <w:r>
              <w:rPr>
                <w:rFonts w:ascii="Muli" w:eastAsia="Muli" w:hAnsi="Muli" w:cs="Muli"/>
                <w:b/>
                <w:color w:val="FF126D"/>
                <w:sz w:val="20"/>
                <w:szCs w:val="20"/>
              </w:rPr>
              <w:t>DQ5L4 TB p. 112</w:t>
            </w:r>
            <w:r>
              <w:rPr>
                <w:rFonts w:ascii="Muli" w:eastAsia="Muli" w:hAnsi="Muli" w:cs="Muli"/>
                <w:sz w:val="20"/>
                <w:szCs w:val="20"/>
              </w:rPr>
              <w:t xml:space="preserve">). </w:t>
            </w:r>
          </w:p>
        </w:tc>
        <w:tc>
          <w:tcPr>
            <w:tcW w:w="5385" w:type="dxa"/>
          </w:tcPr>
          <w:p w14:paraId="20571841"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18F4530C" wp14:editId="7022A2DC">
                  <wp:extent cx="3014663" cy="2079949"/>
                  <wp:effectExtent l="0" t="0" r="0" b="0"/>
                  <wp:docPr id="6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a:srcRect/>
                          <a:stretch>
                            <a:fillRect/>
                          </a:stretch>
                        </pic:blipFill>
                        <pic:spPr>
                          <a:xfrm>
                            <a:off x="0" y="0"/>
                            <a:ext cx="3014663" cy="2079949"/>
                          </a:xfrm>
                          <a:prstGeom prst="rect">
                            <a:avLst/>
                          </a:prstGeom>
                          <a:ln/>
                        </pic:spPr>
                      </pic:pic>
                    </a:graphicData>
                  </a:graphic>
                </wp:inline>
              </w:drawing>
            </w:r>
          </w:p>
          <w:p w14:paraId="484A48EF"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t>DQ5L4 TB p. 112</w:t>
            </w:r>
          </w:p>
        </w:tc>
      </w:tr>
      <w:tr w:rsidR="0078448E" w14:paraId="3697F689" w14:textId="77777777" w:rsidTr="00AB15DC">
        <w:trPr>
          <w:trHeight w:val="6518"/>
        </w:trPr>
        <w:tc>
          <w:tcPr>
            <w:tcW w:w="8865" w:type="dxa"/>
          </w:tcPr>
          <w:p w14:paraId="06739678" w14:textId="77777777" w:rsidR="0078448E" w:rsidRDefault="00DF4D5D">
            <w:pPr>
              <w:pStyle w:val="normal0"/>
              <w:numPr>
                <w:ilvl w:val="0"/>
                <w:numId w:val="1"/>
              </w:numPr>
              <w:ind w:right="135"/>
              <w:contextualSpacing/>
              <w:rPr>
                <w:rFonts w:ascii="Muli" w:eastAsia="Muli" w:hAnsi="Muli" w:cs="Muli"/>
                <w:sz w:val="20"/>
                <w:szCs w:val="20"/>
              </w:rPr>
            </w:pPr>
            <w:r>
              <w:rPr>
                <w:rFonts w:ascii="Muli" w:eastAsia="Muli" w:hAnsi="Muli" w:cs="Muli"/>
                <w:sz w:val="20"/>
                <w:szCs w:val="20"/>
              </w:rPr>
              <w:lastRenderedPageBreak/>
              <w:t>Students reflect on all they learned in the module, sharing their favorite learning (</w:t>
            </w:r>
            <w:r>
              <w:rPr>
                <w:rFonts w:ascii="Muli" w:eastAsia="Muli" w:hAnsi="Muli" w:cs="Muli"/>
                <w:b/>
                <w:color w:val="FF126D"/>
                <w:sz w:val="20"/>
                <w:szCs w:val="20"/>
              </w:rPr>
              <w:t>DQ6L2 TB p. 131</w:t>
            </w:r>
            <w:r>
              <w:rPr>
                <w:rFonts w:ascii="Muli" w:eastAsia="Muli" w:hAnsi="Muli" w:cs="Muli"/>
                <w:sz w:val="20"/>
                <w:szCs w:val="20"/>
              </w:rPr>
              <w:t>).</w:t>
            </w:r>
          </w:p>
        </w:tc>
        <w:tc>
          <w:tcPr>
            <w:tcW w:w="5385" w:type="dxa"/>
          </w:tcPr>
          <w:p w14:paraId="1B60273A"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7BCED844" wp14:editId="494B9CC4">
                  <wp:extent cx="3162300" cy="1330325"/>
                  <wp:effectExtent l="12700" t="12700" r="12700" b="127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b="15863"/>
                          <a:stretch>
                            <a:fillRect/>
                          </a:stretch>
                        </pic:blipFill>
                        <pic:spPr>
                          <a:xfrm>
                            <a:off x="0" y="0"/>
                            <a:ext cx="3162300" cy="1330325"/>
                          </a:xfrm>
                          <a:prstGeom prst="rect">
                            <a:avLst/>
                          </a:prstGeom>
                          <a:ln w="12700">
                            <a:solidFill>
                              <a:srgbClr val="D9D9D9"/>
                            </a:solidFill>
                            <a:prstDash val="solid"/>
                          </a:ln>
                        </pic:spPr>
                      </pic:pic>
                    </a:graphicData>
                  </a:graphic>
                </wp:inline>
              </w:drawing>
            </w:r>
          </w:p>
          <w:p w14:paraId="52CDA74C"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t>DQ6L2 TB p. 131</w:t>
            </w:r>
          </w:p>
        </w:tc>
      </w:tr>
      <w:tr w:rsidR="0078448E" w14:paraId="7B92840A" w14:textId="77777777">
        <w:trPr>
          <w:trHeight w:val="900"/>
        </w:trPr>
        <w:tc>
          <w:tcPr>
            <w:tcW w:w="14250" w:type="dxa"/>
            <w:gridSpan w:val="2"/>
            <w:shd w:val="clear" w:color="auto" w:fill="D9D9D9"/>
          </w:tcPr>
          <w:p w14:paraId="7ED9BD22" w14:textId="77777777" w:rsidR="0078448E" w:rsidRDefault="00DF4D5D">
            <w:pPr>
              <w:pStyle w:val="normal0"/>
              <w:spacing w:before="1"/>
              <w:ind w:left="180" w:right="105"/>
              <w:jc w:val="both"/>
              <w:rPr>
                <w:rFonts w:ascii="Muli" w:eastAsia="Muli" w:hAnsi="Muli" w:cs="Muli"/>
                <w:b/>
                <w:color w:val="2F5496"/>
                <w:sz w:val="20"/>
                <w:szCs w:val="20"/>
              </w:rPr>
            </w:pPr>
            <w:r>
              <w:rPr>
                <w:rFonts w:ascii="Muli" w:eastAsia="Muli" w:hAnsi="Muli" w:cs="Muli"/>
                <w:b/>
                <w:color w:val="2F5496"/>
                <w:sz w:val="20"/>
                <w:szCs w:val="20"/>
              </w:rPr>
              <w:t>SW5. Equitable Learning Opportunities.</w:t>
            </w:r>
          </w:p>
          <w:p w14:paraId="0239B99E" w14:textId="77777777" w:rsidR="0078448E" w:rsidRDefault="00DF4D5D">
            <w:pPr>
              <w:pStyle w:val="normal0"/>
              <w:ind w:left="180" w:right="135"/>
              <w:rPr>
                <w:rFonts w:ascii="Muli" w:eastAsia="Muli" w:hAnsi="Muli" w:cs="Muli"/>
                <w:b/>
                <w:color w:val="2F5496"/>
                <w:sz w:val="20"/>
                <w:szCs w:val="20"/>
              </w:rPr>
            </w:pPr>
            <w:r>
              <w:rPr>
                <w:rFonts w:ascii="Muli" w:eastAsia="Muli" w:hAnsi="Muli" w:cs="Muli"/>
                <w:sz w:val="20"/>
                <w:szCs w:val="20"/>
              </w:rPr>
              <w:t xml:space="preserve">Most learning experiences across Yellowstone: Uncovered are multimodal in approach with numerous </w:t>
            </w:r>
            <w:proofErr w:type="gramStart"/>
            <w:r>
              <w:rPr>
                <w:rFonts w:ascii="Muli" w:eastAsia="Muli" w:hAnsi="Muli" w:cs="Muli"/>
                <w:sz w:val="20"/>
                <w:szCs w:val="20"/>
              </w:rPr>
              <w:t>cross curricular</w:t>
            </w:r>
            <w:proofErr w:type="gramEnd"/>
            <w:r>
              <w:rPr>
                <w:rFonts w:ascii="Muli" w:eastAsia="Muli" w:hAnsi="Muli" w:cs="Muli"/>
                <w:sz w:val="20"/>
                <w:szCs w:val="20"/>
              </w:rPr>
              <w:t xml:space="preserve"> connections, designed to engage students meaningfully in a variety of ways, with multiple access points, and with supports for students.</w:t>
            </w:r>
          </w:p>
        </w:tc>
      </w:tr>
      <w:tr w:rsidR="0078448E" w14:paraId="18A46AED" w14:textId="77777777">
        <w:trPr>
          <w:trHeight w:val="5980"/>
        </w:trPr>
        <w:tc>
          <w:tcPr>
            <w:tcW w:w="14250" w:type="dxa"/>
            <w:gridSpan w:val="2"/>
          </w:tcPr>
          <w:p w14:paraId="3EE062D4"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lastRenderedPageBreak/>
              <w:t xml:space="preserve">The </w:t>
            </w:r>
            <w:r>
              <w:rPr>
                <w:rFonts w:ascii="Muli" w:eastAsia="Muli" w:hAnsi="Muli" w:cs="Muli"/>
                <w:sz w:val="20"/>
                <w:szCs w:val="20"/>
              </w:rPr>
              <w:t>learning experiences in the module are designed to appeal to students of all learning styles and abilities and include tasks in all domains—writing, reading, listening (read-</w:t>
            </w:r>
            <w:proofErr w:type="spellStart"/>
            <w:r>
              <w:rPr>
                <w:rFonts w:ascii="Muli" w:eastAsia="Muli" w:hAnsi="Muli" w:cs="Muli"/>
                <w:sz w:val="20"/>
                <w:szCs w:val="20"/>
              </w:rPr>
              <w:t>alouds</w:t>
            </w:r>
            <w:proofErr w:type="spellEnd"/>
            <w:r>
              <w:rPr>
                <w:rFonts w:ascii="Muli" w:eastAsia="Muli" w:hAnsi="Muli" w:cs="Muli"/>
                <w:sz w:val="20"/>
                <w:szCs w:val="20"/>
              </w:rPr>
              <w:t xml:space="preserve"> and videos), speaking (discussion and presentations), drawing, as well as d</w:t>
            </w:r>
            <w:r>
              <w:rPr>
                <w:rFonts w:ascii="Muli" w:eastAsia="Muli" w:hAnsi="Muli" w:cs="Muli"/>
                <w:sz w:val="20"/>
                <w:szCs w:val="20"/>
              </w:rPr>
              <w:t xml:space="preserve">igital, text, video, and hands-on investigations. </w:t>
            </w:r>
          </w:p>
          <w:p w14:paraId="413C3ED9" w14:textId="77777777" w:rsidR="0078448E" w:rsidRDefault="0078448E">
            <w:pPr>
              <w:pStyle w:val="normal0"/>
              <w:ind w:left="180" w:right="135"/>
              <w:rPr>
                <w:rFonts w:ascii="Muli" w:eastAsia="Muli" w:hAnsi="Muli" w:cs="Muli"/>
                <w:sz w:val="20"/>
                <w:szCs w:val="20"/>
              </w:rPr>
            </w:pPr>
          </w:p>
          <w:p w14:paraId="3F43F0E2"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Instructional materials frequently provide support for language scaffolding for EL students at point of use in the Teacher Edition</w:t>
            </w:r>
            <w:proofErr w:type="gramStart"/>
            <w:r>
              <w:rPr>
                <w:rFonts w:ascii="Muli" w:eastAsia="Muli" w:hAnsi="Muli" w:cs="Muli"/>
                <w:sz w:val="20"/>
                <w:szCs w:val="20"/>
              </w:rPr>
              <w:t>,  as</w:t>
            </w:r>
            <w:proofErr w:type="gramEnd"/>
            <w:r>
              <w:rPr>
                <w:rFonts w:ascii="Muli" w:eastAsia="Muli" w:hAnsi="Muli" w:cs="Muli"/>
                <w:sz w:val="20"/>
                <w:szCs w:val="20"/>
              </w:rPr>
              <w:t xml:space="preserve"> well as research-based integrated language routines to support all s</w:t>
            </w:r>
            <w:r>
              <w:rPr>
                <w:rFonts w:ascii="Muli" w:eastAsia="Muli" w:hAnsi="Muli" w:cs="Muli"/>
                <w:sz w:val="20"/>
                <w:szCs w:val="20"/>
              </w:rPr>
              <w:t>tudents to “talk science” using grade level appropriate scientific vocabulary. The digital version of the Twig Book (TB) includes a text to speech function.</w:t>
            </w:r>
          </w:p>
          <w:p w14:paraId="2C7CF714" w14:textId="77777777" w:rsidR="0078448E" w:rsidRDefault="0078448E">
            <w:pPr>
              <w:pStyle w:val="normal0"/>
              <w:ind w:left="180" w:right="135"/>
              <w:rPr>
                <w:rFonts w:ascii="Muli" w:eastAsia="Muli" w:hAnsi="Muli" w:cs="Muli"/>
                <w:sz w:val="20"/>
                <w:szCs w:val="20"/>
              </w:rPr>
            </w:pPr>
          </w:p>
          <w:p w14:paraId="511F8019"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 xml:space="preserve">Suggestions for extra access points for students with special needs are provided frequently at point of use. </w:t>
            </w:r>
          </w:p>
          <w:p w14:paraId="40822403" w14:textId="77777777" w:rsidR="0078448E" w:rsidRDefault="0078448E">
            <w:pPr>
              <w:pStyle w:val="normal0"/>
              <w:ind w:left="180" w:right="135"/>
              <w:rPr>
                <w:rFonts w:ascii="Muli" w:eastAsia="Muli" w:hAnsi="Muli" w:cs="Muli"/>
                <w:sz w:val="20"/>
                <w:szCs w:val="20"/>
              </w:rPr>
            </w:pPr>
          </w:p>
          <w:p w14:paraId="5BAC5444" w14:textId="77777777" w:rsidR="0078448E" w:rsidRDefault="00DF4D5D">
            <w:pPr>
              <w:pStyle w:val="normal0"/>
              <w:ind w:left="180" w:right="135"/>
              <w:rPr>
                <w:rFonts w:ascii="Muli" w:eastAsia="Muli" w:hAnsi="Muli" w:cs="Muli"/>
                <w:sz w:val="20"/>
                <w:szCs w:val="20"/>
              </w:rPr>
            </w:pPr>
            <w:proofErr w:type="gramStart"/>
            <w:r>
              <w:rPr>
                <w:rFonts w:ascii="Muli" w:eastAsia="Muli" w:hAnsi="Muli" w:cs="Muli"/>
                <w:sz w:val="20"/>
                <w:szCs w:val="20"/>
              </w:rPr>
              <w:t>Culturally-relevant</w:t>
            </w:r>
            <w:proofErr w:type="gramEnd"/>
            <w:r>
              <w:rPr>
                <w:rFonts w:ascii="Muli" w:eastAsia="Muli" w:hAnsi="Muli" w:cs="Muli"/>
                <w:sz w:val="20"/>
                <w:szCs w:val="20"/>
              </w:rPr>
              <w:t xml:space="preserve"> content is core to the module, as students explore matter and energy through the prism of one of the United States' most magn</w:t>
            </w:r>
            <w:r>
              <w:rPr>
                <w:rFonts w:ascii="Muli" w:eastAsia="Muli" w:hAnsi="Muli" w:cs="Muli"/>
                <w:sz w:val="20"/>
                <w:szCs w:val="20"/>
              </w:rPr>
              <w:t xml:space="preserve">ificent national parks, with additional Cultural Connections added at point of use in the Teacher Edition (TE). </w:t>
            </w:r>
          </w:p>
          <w:p w14:paraId="7D2991FC" w14:textId="77777777" w:rsidR="0078448E" w:rsidRDefault="0078448E">
            <w:pPr>
              <w:pStyle w:val="normal0"/>
              <w:ind w:left="180" w:right="135"/>
              <w:rPr>
                <w:rFonts w:ascii="Muli" w:eastAsia="Muli" w:hAnsi="Muli" w:cs="Muli"/>
                <w:sz w:val="20"/>
                <w:szCs w:val="20"/>
              </w:rPr>
            </w:pPr>
          </w:p>
          <w:p w14:paraId="3ED27638"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 xml:space="preserve">Higher Order Challenges for GATE student that have already met the learning goals are interspersed through the learning activities. </w:t>
            </w:r>
          </w:p>
          <w:p w14:paraId="2B0E1DFC" w14:textId="77777777" w:rsidR="0078448E" w:rsidRDefault="0078448E">
            <w:pPr>
              <w:pStyle w:val="normal0"/>
              <w:ind w:left="180" w:right="135"/>
              <w:rPr>
                <w:rFonts w:ascii="Muli" w:eastAsia="Muli" w:hAnsi="Muli" w:cs="Muli"/>
                <w:sz w:val="20"/>
                <w:szCs w:val="20"/>
              </w:rPr>
            </w:pPr>
          </w:p>
          <w:p w14:paraId="57A105A4" w14:textId="77777777" w:rsidR="0078448E" w:rsidRDefault="00DF4D5D">
            <w:pPr>
              <w:pStyle w:val="normal0"/>
              <w:ind w:left="180" w:right="135"/>
              <w:rPr>
                <w:rFonts w:ascii="Muli" w:eastAsia="Muli" w:hAnsi="Muli" w:cs="Muli"/>
                <w:sz w:val="20"/>
                <w:szCs w:val="20"/>
              </w:rPr>
            </w:pPr>
            <w:r>
              <w:rPr>
                <w:rFonts w:ascii="Muli" w:eastAsia="Muli" w:hAnsi="Muli" w:cs="Muli"/>
                <w:sz w:val="20"/>
                <w:szCs w:val="20"/>
              </w:rPr>
              <w:t xml:space="preserve">The frequent use of videos helps all </w:t>
            </w:r>
            <w:proofErr w:type="gramStart"/>
            <w:r>
              <w:rPr>
                <w:rFonts w:ascii="Muli" w:eastAsia="Muli" w:hAnsi="Muli" w:cs="Muli"/>
                <w:sz w:val="20"/>
                <w:szCs w:val="20"/>
              </w:rPr>
              <w:t>students</w:t>
            </w:r>
            <w:proofErr w:type="gramEnd"/>
            <w:r>
              <w:rPr>
                <w:rFonts w:ascii="Muli" w:eastAsia="Muli" w:hAnsi="Muli" w:cs="Muli"/>
                <w:sz w:val="20"/>
                <w:szCs w:val="20"/>
              </w:rPr>
              <w:t xml:space="preserve"> access and engage with phenomena and science concepts. Key words are overlaid as on-screen text. They can access the ideas visually as well as via the spoken and written word. Captions are provided in both Engl</w:t>
            </w:r>
            <w:r>
              <w:rPr>
                <w:rFonts w:ascii="Muli" w:eastAsia="Muli" w:hAnsi="Muli" w:cs="Muli"/>
                <w:sz w:val="20"/>
                <w:szCs w:val="20"/>
              </w:rPr>
              <w:t xml:space="preserve">ish and Spanish. </w:t>
            </w:r>
          </w:p>
          <w:p w14:paraId="57624E27" w14:textId="77777777" w:rsidR="0078448E" w:rsidRDefault="0078448E">
            <w:pPr>
              <w:pStyle w:val="normal0"/>
              <w:ind w:left="180" w:right="135"/>
              <w:rPr>
                <w:rFonts w:ascii="Muli" w:eastAsia="Muli" w:hAnsi="Muli" w:cs="Muli"/>
                <w:sz w:val="20"/>
                <w:szCs w:val="20"/>
              </w:rPr>
            </w:pPr>
          </w:p>
          <w:p w14:paraId="715D0562" w14:textId="77777777" w:rsidR="0078448E" w:rsidRDefault="00DF4D5D">
            <w:pPr>
              <w:pStyle w:val="normal0"/>
              <w:ind w:left="180" w:right="135"/>
              <w:rPr>
                <w:rFonts w:ascii="Muli" w:eastAsia="Muli" w:hAnsi="Muli" w:cs="Muli"/>
                <w:color w:val="0000FF"/>
                <w:sz w:val="20"/>
                <w:szCs w:val="20"/>
              </w:rPr>
            </w:pPr>
            <w:r>
              <w:rPr>
                <w:rFonts w:ascii="Muli" w:eastAsia="Muli" w:hAnsi="Muli" w:cs="Muli"/>
                <w:i/>
                <w:sz w:val="20"/>
                <w:szCs w:val="20"/>
              </w:rPr>
              <w:t>The Galápagos Islands</w:t>
            </w:r>
            <w:r>
              <w:rPr>
                <w:rFonts w:ascii="Muli" w:eastAsia="Muli" w:hAnsi="Muli" w:cs="Muli"/>
                <w:sz w:val="20"/>
                <w:szCs w:val="20"/>
              </w:rPr>
              <w:t xml:space="preserve"> Leveled Reader has been designed to capture the imagination of young readers with jokes and cartoons and it provides an alternative means to access the scientific content. The reader is available in four levels (Bel</w:t>
            </w:r>
            <w:r>
              <w:rPr>
                <w:rFonts w:ascii="Muli" w:eastAsia="Muli" w:hAnsi="Muli" w:cs="Muli"/>
                <w:sz w:val="20"/>
                <w:szCs w:val="20"/>
              </w:rPr>
              <w:t>ow, On, Above, EL) and in Spanish, with complementary lessons to build language acquisition and develop informational text reading skills. On level lessons are in the TE, while other levels are available digitally. The reader features many positive role mo</w:t>
            </w:r>
            <w:r>
              <w:rPr>
                <w:rFonts w:ascii="Muli" w:eastAsia="Muli" w:hAnsi="Muli" w:cs="Muli"/>
                <w:sz w:val="20"/>
                <w:szCs w:val="20"/>
              </w:rPr>
              <w:t>dels in the field of science and engineering, designed to cultivate interest in STEM careers for all students. Chapter 2 is dedicated to an interview with an entomologist who advocates for disabled scientists. The digital version of the reader includes a t</w:t>
            </w:r>
            <w:r>
              <w:rPr>
                <w:rFonts w:ascii="Muli" w:eastAsia="Muli" w:hAnsi="Muli" w:cs="Muli"/>
                <w:sz w:val="20"/>
                <w:szCs w:val="20"/>
              </w:rPr>
              <w:t>ext to speech function.</w:t>
            </w:r>
          </w:p>
        </w:tc>
      </w:tr>
      <w:tr w:rsidR="0078448E" w14:paraId="186F11C5" w14:textId="77777777">
        <w:trPr>
          <w:trHeight w:val="1560"/>
        </w:trPr>
        <w:tc>
          <w:tcPr>
            <w:tcW w:w="8865" w:type="dxa"/>
          </w:tcPr>
          <w:p w14:paraId="76A6D658" w14:textId="77777777" w:rsidR="0078448E" w:rsidRDefault="0078448E">
            <w:pPr>
              <w:pStyle w:val="normal0"/>
              <w:ind w:left="180" w:right="135"/>
              <w:rPr>
                <w:rFonts w:ascii="Muli" w:eastAsia="Muli" w:hAnsi="Muli" w:cs="Muli"/>
                <w:b/>
                <w:color w:val="FF126D"/>
                <w:sz w:val="20"/>
                <w:szCs w:val="20"/>
              </w:rPr>
            </w:pPr>
          </w:p>
          <w:p w14:paraId="7979DC69" w14:textId="77777777" w:rsidR="0078448E" w:rsidRDefault="00DF4D5D">
            <w:pPr>
              <w:pStyle w:val="normal0"/>
              <w:ind w:left="180" w:right="135"/>
              <w:rPr>
                <w:rFonts w:ascii="Muli" w:eastAsia="Muli" w:hAnsi="Muli" w:cs="Muli"/>
                <w:b/>
                <w:sz w:val="20"/>
                <w:szCs w:val="20"/>
              </w:rPr>
            </w:pPr>
            <w:r>
              <w:rPr>
                <w:rFonts w:ascii="Muli" w:eastAsia="Muli" w:hAnsi="Muli" w:cs="Muli"/>
                <w:b/>
                <w:color w:val="FF126D"/>
                <w:sz w:val="20"/>
                <w:szCs w:val="20"/>
              </w:rPr>
              <w:t>Evidence</w:t>
            </w:r>
            <w:r>
              <w:rPr>
                <w:rFonts w:ascii="Muli" w:eastAsia="Muli" w:hAnsi="Muli" w:cs="Muli"/>
                <w:b/>
                <w:sz w:val="20"/>
                <w:szCs w:val="20"/>
              </w:rPr>
              <w:t xml:space="preserve"> </w:t>
            </w:r>
          </w:p>
          <w:p w14:paraId="53099E75" w14:textId="77777777" w:rsidR="0078448E" w:rsidRDefault="00DF4D5D">
            <w:pPr>
              <w:pStyle w:val="normal0"/>
              <w:numPr>
                <w:ilvl w:val="0"/>
                <w:numId w:val="5"/>
              </w:numPr>
              <w:ind w:right="135"/>
              <w:contextualSpacing/>
              <w:rPr>
                <w:rFonts w:ascii="Muli" w:eastAsia="Muli" w:hAnsi="Muli" w:cs="Muli"/>
                <w:sz w:val="20"/>
                <w:szCs w:val="20"/>
              </w:rPr>
            </w:pPr>
            <w:r>
              <w:rPr>
                <w:rFonts w:ascii="Muli" w:eastAsia="Muli" w:hAnsi="Muli" w:cs="Muli"/>
                <w:sz w:val="20"/>
                <w:szCs w:val="20"/>
              </w:rPr>
              <w:t>Integrated EL sidebars offer teachers guidance to support students’ engagement with the material (</w:t>
            </w:r>
            <w:r>
              <w:rPr>
                <w:rFonts w:ascii="Muli" w:eastAsia="Muli" w:hAnsi="Muli" w:cs="Muli"/>
                <w:b/>
                <w:color w:val="FF126D"/>
                <w:sz w:val="20"/>
                <w:szCs w:val="20"/>
              </w:rPr>
              <w:t>DQ1L1 TE p. 8, DQ2L3 TE p. 54</w:t>
            </w:r>
            <w:r>
              <w:rPr>
                <w:rFonts w:ascii="Muli" w:eastAsia="Muli" w:hAnsi="Muli" w:cs="Muli"/>
                <w:color w:val="FF0000"/>
                <w:sz w:val="20"/>
                <w:szCs w:val="20"/>
              </w:rPr>
              <w:t>,</w:t>
            </w:r>
            <w:r>
              <w:rPr>
                <w:rFonts w:ascii="Muli" w:eastAsia="Muli" w:hAnsi="Muli" w:cs="Muli"/>
                <w:b/>
                <w:color w:val="FF126D"/>
                <w:sz w:val="20"/>
                <w:szCs w:val="20"/>
              </w:rPr>
              <w:t xml:space="preserve"> DQ3L4 TE p. 115</w:t>
            </w:r>
            <w:r>
              <w:rPr>
                <w:rFonts w:ascii="Muli" w:eastAsia="Muli" w:hAnsi="Muli" w:cs="Muli"/>
                <w:color w:val="FF0000"/>
                <w:sz w:val="20"/>
                <w:szCs w:val="20"/>
              </w:rPr>
              <w:t xml:space="preserve">, </w:t>
            </w:r>
            <w:r>
              <w:rPr>
                <w:rFonts w:ascii="Muli" w:eastAsia="Muli" w:hAnsi="Muli" w:cs="Muli"/>
                <w:b/>
                <w:color w:val="FF126D"/>
                <w:sz w:val="20"/>
                <w:szCs w:val="20"/>
              </w:rPr>
              <w:t>DQ4L4 TE p. 147</w:t>
            </w:r>
            <w:r>
              <w:rPr>
                <w:rFonts w:ascii="Muli" w:eastAsia="Muli" w:hAnsi="Muli" w:cs="Muli"/>
                <w:sz w:val="20"/>
                <w:szCs w:val="20"/>
              </w:rPr>
              <w:t>).</w:t>
            </w:r>
          </w:p>
        </w:tc>
        <w:tc>
          <w:tcPr>
            <w:tcW w:w="5385" w:type="dxa"/>
          </w:tcPr>
          <w:p w14:paraId="3310C127" w14:textId="77777777" w:rsidR="0078448E" w:rsidRDefault="00DF4D5D">
            <w:pPr>
              <w:pStyle w:val="normal0"/>
              <w:pBdr>
                <w:top w:val="nil"/>
                <w:left w:val="nil"/>
                <w:bottom w:val="nil"/>
                <w:right w:val="nil"/>
                <w:between w:val="nil"/>
              </w:pBdr>
              <w:rPr>
                <w:rFonts w:ascii="Muli" w:eastAsia="Muli" w:hAnsi="Muli" w:cs="Muli"/>
                <w:b/>
                <w:sz w:val="20"/>
                <w:szCs w:val="20"/>
              </w:rPr>
            </w:pPr>
            <w:r>
              <w:rPr>
                <w:rFonts w:ascii="Muli" w:eastAsia="Muli" w:hAnsi="Muli" w:cs="Muli"/>
                <w:b/>
                <w:noProof/>
                <w:sz w:val="20"/>
                <w:szCs w:val="20"/>
              </w:rPr>
              <w:drawing>
                <wp:inline distT="114300" distB="114300" distL="114300" distR="114300" wp14:anchorId="74C9F2FA" wp14:editId="027B509E">
                  <wp:extent cx="2824163" cy="1672409"/>
                  <wp:effectExtent l="12700" t="12700" r="12700" b="127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824163" cy="1672409"/>
                          </a:xfrm>
                          <a:prstGeom prst="rect">
                            <a:avLst/>
                          </a:prstGeom>
                          <a:ln w="12700">
                            <a:solidFill>
                              <a:srgbClr val="CCCCCC"/>
                            </a:solidFill>
                            <a:prstDash val="solid"/>
                          </a:ln>
                        </pic:spPr>
                      </pic:pic>
                    </a:graphicData>
                  </a:graphic>
                </wp:inline>
              </w:drawing>
            </w:r>
          </w:p>
          <w:p w14:paraId="24CEB60F" w14:textId="77777777" w:rsidR="0078448E" w:rsidRDefault="00DF4D5D">
            <w:pPr>
              <w:pStyle w:val="normal0"/>
              <w:ind w:right="135"/>
              <w:rPr>
                <w:rFonts w:ascii="Muli" w:eastAsia="Muli" w:hAnsi="Muli" w:cs="Muli"/>
                <w:b/>
                <w:color w:val="FF126D"/>
                <w:sz w:val="20"/>
                <w:szCs w:val="20"/>
              </w:rPr>
            </w:pPr>
            <w:r>
              <w:rPr>
                <w:rFonts w:ascii="Muli" w:eastAsia="Muli" w:hAnsi="Muli" w:cs="Muli"/>
                <w:b/>
                <w:color w:val="FF126D"/>
                <w:sz w:val="20"/>
                <w:szCs w:val="20"/>
              </w:rPr>
              <w:t>DQ1L1 TE p. 8</w:t>
            </w:r>
          </w:p>
          <w:p w14:paraId="292B1C77" w14:textId="77777777" w:rsidR="0078448E" w:rsidRDefault="0078448E">
            <w:pPr>
              <w:pStyle w:val="normal0"/>
              <w:ind w:right="135"/>
              <w:rPr>
                <w:rFonts w:ascii="Muli" w:eastAsia="Muli" w:hAnsi="Muli" w:cs="Muli"/>
                <w:b/>
                <w:color w:val="FF126D"/>
                <w:sz w:val="20"/>
                <w:szCs w:val="20"/>
              </w:rPr>
            </w:pPr>
          </w:p>
          <w:p w14:paraId="75EFD1DA" w14:textId="77777777" w:rsidR="0078448E" w:rsidRDefault="00DF4D5D">
            <w:pPr>
              <w:pStyle w:val="normal0"/>
              <w:ind w:left="90" w:right="135"/>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4FD0712C" wp14:editId="0A929289">
                  <wp:extent cx="1895475" cy="230505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1895475" cy="2305050"/>
                          </a:xfrm>
                          <a:prstGeom prst="rect">
                            <a:avLst/>
                          </a:prstGeom>
                          <a:ln/>
                        </pic:spPr>
                      </pic:pic>
                    </a:graphicData>
                  </a:graphic>
                </wp:inline>
              </w:drawing>
            </w:r>
          </w:p>
          <w:p w14:paraId="0C52831F" w14:textId="77777777" w:rsidR="0078448E" w:rsidRDefault="00DF4D5D">
            <w:pPr>
              <w:pStyle w:val="normal0"/>
              <w:ind w:left="90" w:right="135"/>
              <w:rPr>
                <w:rFonts w:ascii="Muli" w:eastAsia="Muli" w:hAnsi="Muli" w:cs="Muli"/>
                <w:b/>
                <w:color w:val="FF126D"/>
                <w:sz w:val="20"/>
                <w:szCs w:val="20"/>
              </w:rPr>
            </w:pPr>
            <w:r>
              <w:rPr>
                <w:rFonts w:ascii="Muli" w:eastAsia="Muli" w:hAnsi="Muli" w:cs="Muli"/>
                <w:b/>
                <w:color w:val="FF126D"/>
                <w:sz w:val="20"/>
                <w:szCs w:val="20"/>
              </w:rPr>
              <w:t>DQ2L3 TE p. 54</w:t>
            </w:r>
          </w:p>
          <w:p w14:paraId="547CF787" w14:textId="77777777" w:rsidR="0078448E" w:rsidRDefault="0078448E">
            <w:pPr>
              <w:pStyle w:val="normal0"/>
              <w:ind w:left="90" w:right="135"/>
              <w:rPr>
                <w:rFonts w:ascii="Muli" w:eastAsia="Muli" w:hAnsi="Muli" w:cs="Muli"/>
                <w:b/>
                <w:color w:val="FF126D"/>
                <w:sz w:val="20"/>
                <w:szCs w:val="20"/>
              </w:rPr>
            </w:pPr>
          </w:p>
          <w:p w14:paraId="5930E9E2" w14:textId="77777777" w:rsidR="0078448E" w:rsidRDefault="00DF4D5D">
            <w:pPr>
              <w:pStyle w:val="normal0"/>
              <w:ind w:left="90" w:right="135"/>
              <w:rPr>
                <w:rFonts w:ascii="Muli" w:eastAsia="Muli" w:hAnsi="Muli" w:cs="Muli"/>
                <w:b/>
                <w:sz w:val="20"/>
                <w:szCs w:val="20"/>
              </w:rPr>
            </w:pPr>
            <w:r>
              <w:rPr>
                <w:rFonts w:ascii="Muli" w:eastAsia="Muli" w:hAnsi="Muli" w:cs="Muli"/>
                <w:b/>
                <w:noProof/>
                <w:sz w:val="20"/>
                <w:szCs w:val="20"/>
              </w:rPr>
              <w:drawing>
                <wp:inline distT="114300" distB="114300" distL="114300" distR="114300" wp14:anchorId="340C4B51" wp14:editId="56B22915">
                  <wp:extent cx="2009775" cy="1676400"/>
                  <wp:effectExtent l="0" t="0" r="0" b="0"/>
                  <wp:docPr id="6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a:stretch>
                            <a:fillRect/>
                          </a:stretch>
                        </pic:blipFill>
                        <pic:spPr>
                          <a:xfrm>
                            <a:off x="0" y="0"/>
                            <a:ext cx="2009775" cy="1676400"/>
                          </a:xfrm>
                          <a:prstGeom prst="rect">
                            <a:avLst/>
                          </a:prstGeom>
                          <a:ln/>
                        </pic:spPr>
                      </pic:pic>
                    </a:graphicData>
                  </a:graphic>
                </wp:inline>
              </w:drawing>
            </w:r>
          </w:p>
          <w:p w14:paraId="448955E6" w14:textId="77777777" w:rsidR="0078448E" w:rsidRDefault="00DF4D5D">
            <w:pPr>
              <w:pStyle w:val="normal0"/>
              <w:ind w:left="90" w:right="135"/>
              <w:rPr>
                <w:rFonts w:ascii="Muli" w:eastAsia="Muli" w:hAnsi="Muli" w:cs="Muli"/>
                <w:b/>
                <w:color w:val="FF126D"/>
                <w:sz w:val="20"/>
                <w:szCs w:val="20"/>
              </w:rPr>
            </w:pPr>
            <w:r>
              <w:rPr>
                <w:rFonts w:ascii="Muli" w:eastAsia="Muli" w:hAnsi="Muli" w:cs="Muli"/>
                <w:b/>
                <w:color w:val="FF126D"/>
                <w:sz w:val="20"/>
                <w:szCs w:val="20"/>
              </w:rPr>
              <w:t xml:space="preserve"> DQ3L4 TE p. 115</w:t>
            </w:r>
          </w:p>
          <w:p w14:paraId="63B12761" w14:textId="77777777" w:rsidR="0078448E" w:rsidRDefault="0078448E">
            <w:pPr>
              <w:pStyle w:val="normal0"/>
              <w:ind w:left="90" w:right="135"/>
              <w:rPr>
                <w:rFonts w:ascii="Muli" w:eastAsia="Muli" w:hAnsi="Muli" w:cs="Muli"/>
                <w:b/>
                <w:color w:val="FF126D"/>
                <w:sz w:val="20"/>
                <w:szCs w:val="20"/>
              </w:rPr>
            </w:pPr>
          </w:p>
          <w:p w14:paraId="1E409160" w14:textId="77777777" w:rsidR="0078448E" w:rsidRDefault="00DF4D5D">
            <w:pPr>
              <w:pStyle w:val="normal0"/>
              <w:ind w:left="90" w:right="13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BDEEF7C" wp14:editId="02962E42">
                  <wp:extent cx="2019300" cy="1600200"/>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2019300" cy="1600200"/>
                          </a:xfrm>
                          <a:prstGeom prst="rect">
                            <a:avLst/>
                          </a:prstGeom>
                          <a:ln/>
                        </pic:spPr>
                      </pic:pic>
                    </a:graphicData>
                  </a:graphic>
                </wp:inline>
              </w:drawing>
            </w:r>
          </w:p>
          <w:p w14:paraId="2E15E140" w14:textId="77777777" w:rsidR="0078448E" w:rsidRDefault="00DF4D5D">
            <w:pPr>
              <w:pStyle w:val="normal0"/>
              <w:ind w:left="90" w:right="135"/>
              <w:rPr>
                <w:rFonts w:ascii="Muli" w:eastAsia="Muli" w:hAnsi="Muli" w:cs="Muli"/>
                <w:b/>
                <w:color w:val="FF126D"/>
                <w:sz w:val="20"/>
                <w:szCs w:val="20"/>
              </w:rPr>
            </w:pPr>
            <w:r>
              <w:rPr>
                <w:rFonts w:ascii="Muli" w:eastAsia="Muli" w:hAnsi="Muli" w:cs="Muli"/>
                <w:b/>
                <w:color w:val="FF126D"/>
                <w:sz w:val="20"/>
                <w:szCs w:val="20"/>
              </w:rPr>
              <w:t>DQ4L4 TE p. 147</w:t>
            </w:r>
          </w:p>
        </w:tc>
      </w:tr>
      <w:tr w:rsidR="0078448E" w14:paraId="7B890EDD" w14:textId="77777777">
        <w:trPr>
          <w:trHeight w:val="3360"/>
        </w:trPr>
        <w:tc>
          <w:tcPr>
            <w:tcW w:w="8865" w:type="dxa"/>
          </w:tcPr>
          <w:p w14:paraId="78096AE9" w14:textId="77777777" w:rsidR="0078448E" w:rsidRDefault="00DF4D5D">
            <w:pPr>
              <w:pStyle w:val="normal0"/>
              <w:numPr>
                <w:ilvl w:val="0"/>
                <w:numId w:val="5"/>
              </w:numPr>
              <w:ind w:right="135"/>
              <w:contextualSpacing/>
              <w:rPr>
                <w:rFonts w:ascii="Muli" w:eastAsia="Muli" w:hAnsi="Muli" w:cs="Muli"/>
                <w:sz w:val="20"/>
                <w:szCs w:val="20"/>
              </w:rPr>
            </w:pPr>
            <w:r>
              <w:rPr>
                <w:rFonts w:ascii="Muli" w:eastAsia="Muli" w:hAnsi="Muli" w:cs="Muli"/>
                <w:sz w:val="20"/>
                <w:szCs w:val="20"/>
              </w:rPr>
              <w:lastRenderedPageBreak/>
              <w:t>Integrated Cultural Connection sidebars offer teachers guidance to engage students of all backgrounds (</w:t>
            </w:r>
            <w:r>
              <w:rPr>
                <w:rFonts w:ascii="Muli" w:eastAsia="Muli" w:hAnsi="Muli" w:cs="Muli"/>
                <w:b/>
                <w:color w:val="FF126D"/>
                <w:sz w:val="20"/>
                <w:szCs w:val="20"/>
              </w:rPr>
              <w:t>DQ1L1 TE p. 8</w:t>
            </w:r>
            <w:r>
              <w:rPr>
                <w:rFonts w:ascii="Muli" w:eastAsia="Muli" w:hAnsi="Muli" w:cs="Muli"/>
                <w:sz w:val="20"/>
                <w:szCs w:val="20"/>
              </w:rPr>
              <w:t>, DQ2L3 TE p. 55, DQ3L3 TE p. 106, DQ5L3 TE p. 172).</w:t>
            </w:r>
          </w:p>
        </w:tc>
        <w:tc>
          <w:tcPr>
            <w:tcW w:w="5385" w:type="dxa"/>
          </w:tcPr>
          <w:p w14:paraId="1C575D44"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56795505" wp14:editId="07BF7FC2">
                  <wp:extent cx="3128963" cy="1852905"/>
                  <wp:effectExtent l="12700" t="12700" r="12700" b="1270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128963" cy="1852905"/>
                          </a:xfrm>
                          <a:prstGeom prst="rect">
                            <a:avLst/>
                          </a:prstGeom>
                          <a:ln w="12700">
                            <a:solidFill>
                              <a:srgbClr val="D9D9D9"/>
                            </a:solidFill>
                            <a:prstDash val="solid"/>
                          </a:ln>
                        </pic:spPr>
                      </pic:pic>
                    </a:graphicData>
                  </a:graphic>
                </wp:inline>
              </w:drawing>
            </w:r>
          </w:p>
          <w:p w14:paraId="5EA1AD7A"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t>DQ1L1 TE p. 8</w:t>
            </w:r>
          </w:p>
        </w:tc>
      </w:tr>
      <w:tr w:rsidR="0078448E" w14:paraId="4CAF5874" w14:textId="77777777">
        <w:trPr>
          <w:trHeight w:val="9720"/>
        </w:trPr>
        <w:tc>
          <w:tcPr>
            <w:tcW w:w="8865" w:type="dxa"/>
          </w:tcPr>
          <w:p w14:paraId="540C238E" w14:textId="77777777" w:rsidR="0078448E" w:rsidRDefault="00DF4D5D">
            <w:pPr>
              <w:pStyle w:val="normal0"/>
              <w:numPr>
                <w:ilvl w:val="0"/>
                <w:numId w:val="5"/>
              </w:numPr>
              <w:ind w:right="135"/>
              <w:contextualSpacing/>
              <w:rPr>
                <w:rFonts w:ascii="Muli" w:eastAsia="Muli" w:hAnsi="Muli" w:cs="Muli"/>
                <w:sz w:val="20"/>
                <w:szCs w:val="20"/>
              </w:rPr>
            </w:pPr>
            <w:r>
              <w:rPr>
                <w:rFonts w:ascii="Muli" w:eastAsia="Muli" w:hAnsi="Muli" w:cs="Muli"/>
                <w:sz w:val="20"/>
                <w:szCs w:val="20"/>
              </w:rPr>
              <w:lastRenderedPageBreak/>
              <w:t>Integrated Special Needs sidebars offer teachers guidance to support students of all abilities as they participation in class activities and grasp key concepts (</w:t>
            </w:r>
            <w:r>
              <w:rPr>
                <w:rFonts w:ascii="Muli" w:eastAsia="Muli" w:hAnsi="Muli" w:cs="Muli"/>
                <w:b/>
                <w:color w:val="FF126D"/>
                <w:sz w:val="20"/>
                <w:szCs w:val="20"/>
              </w:rPr>
              <w:t>DQ1L2 TE p. 18,</w:t>
            </w:r>
            <w:r>
              <w:rPr>
                <w:rFonts w:ascii="Muli" w:eastAsia="Muli" w:hAnsi="Muli" w:cs="Muli"/>
                <w:sz w:val="20"/>
                <w:szCs w:val="20"/>
              </w:rPr>
              <w:t xml:space="preserve"> DQ2L3 TE p. 56,</w:t>
            </w:r>
            <w:r>
              <w:rPr>
                <w:rFonts w:ascii="Muli" w:eastAsia="Muli" w:hAnsi="Muli" w:cs="Muli"/>
                <w:b/>
                <w:color w:val="FF126D"/>
                <w:sz w:val="20"/>
                <w:szCs w:val="20"/>
              </w:rPr>
              <w:t xml:space="preserve"> DQ4L4 TE p. 148</w:t>
            </w:r>
            <w:r>
              <w:rPr>
                <w:rFonts w:ascii="Muli" w:eastAsia="Muli" w:hAnsi="Muli" w:cs="Muli"/>
                <w:sz w:val="20"/>
                <w:szCs w:val="20"/>
              </w:rPr>
              <w:t>).</w:t>
            </w:r>
          </w:p>
        </w:tc>
        <w:tc>
          <w:tcPr>
            <w:tcW w:w="5385" w:type="dxa"/>
          </w:tcPr>
          <w:p w14:paraId="70BCCE62" w14:textId="77777777" w:rsidR="0078448E" w:rsidRDefault="00DF4D5D">
            <w:pPr>
              <w:pStyle w:val="normal0"/>
              <w:pBdr>
                <w:top w:val="nil"/>
                <w:left w:val="nil"/>
                <w:bottom w:val="nil"/>
                <w:right w:val="nil"/>
                <w:between w:val="nil"/>
              </w:pBdr>
              <w:ind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5894DEE9" wp14:editId="62387BA4">
                  <wp:extent cx="1892429" cy="3525837"/>
                  <wp:effectExtent l="0" t="0" r="0" b="0"/>
                  <wp:docPr id="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1892429" cy="3525837"/>
                          </a:xfrm>
                          <a:prstGeom prst="rect">
                            <a:avLst/>
                          </a:prstGeom>
                          <a:ln/>
                        </pic:spPr>
                      </pic:pic>
                    </a:graphicData>
                  </a:graphic>
                </wp:inline>
              </w:drawing>
            </w:r>
          </w:p>
          <w:p w14:paraId="1646709A" w14:textId="77777777" w:rsidR="0078448E" w:rsidRDefault="00DF4D5D">
            <w:pPr>
              <w:pStyle w:val="normal0"/>
              <w:ind w:right="135" w:firstLine="90"/>
              <w:rPr>
                <w:rFonts w:ascii="Muli" w:eastAsia="Muli" w:hAnsi="Muli" w:cs="Muli"/>
                <w:b/>
                <w:color w:val="FF126D"/>
                <w:sz w:val="20"/>
                <w:szCs w:val="20"/>
              </w:rPr>
            </w:pPr>
            <w:r>
              <w:rPr>
                <w:rFonts w:ascii="Muli" w:eastAsia="Muli" w:hAnsi="Muli" w:cs="Muli"/>
                <w:b/>
                <w:color w:val="FF126D"/>
                <w:sz w:val="20"/>
                <w:szCs w:val="20"/>
              </w:rPr>
              <w:t>DQ1L2 TE p. 18</w:t>
            </w:r>
          </w:p>
          <w:p w14:paraId="275A861C" w14:textId="77777777" w:rsidR="0078448E" w:rsidRDefault="0078448E">
            <w:pPr>
              <w:pStyle w:val="normal0"/>
              <w:ind w:right="135" w:firstLine="90"/>
              <w:rPr>
                <w:rFonts w:ascii="Muli" w:eastAsia="Muli" w:hAnsi="Muli" w:cs="Muli"/>
                <w:b/>
                <w:color w:val="FF126D"/>
                <w:sz w:val="20"/>
                <w:szCs w:val="20"/>
              </w:rPr>
            </w:pPr>
          </w:p>
          <w:p w14:paraId="56D7A28F" w14:textId="77777777" w:rsidR="0078448E" w:rsidRDefault="00DF4D5D">
            <w:pPr>
              <w:pStyle w:val="normal0"/>
              <w:ind w:right="135"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BEC2B1B" wp14:editId="1E3E6D33">
                  <wp:extent cx="1985963" cy="2156536"/>
                  <wp:effectExtent l="0" t="0" r="0" 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1985963" cy="2156536"/>
                          </a:xfrm>
                          <a:prstGeom prst="rect">
                            <a:avLst/>
                          </a:prstGeom>
                          <a:ln/>
                        </pic:spPr>
                      </pic:pic>
                    </a:graphicData>
                  </a:graphic>
                </wp:inline>
              </w:drawing>
            </w:r>
          </w:p>
          <w:p w14:paraId="29841F3E" w14:textId="77777777" w:rsidR="0078448E" w:rsidRDefault="00DF4D5D">
            <w:pPr>
              <w:pStyle w:val="normal0"/>
              <w:ind w:left="90" w:right="135"/>
              <w:rPr>
                <w:rFonts w:ascii="Muli" w:eastAsia="Muli" w:hAnsi="Muli" w:cs="Muli"/>
                <w:b/>
                <w:color w:val="FF126D"/>
                <w:sz w:val="20"/>
                <w:szCs w:val="20"/>
              </w:rPr>
            </w:pPr>
            <w:r>
              <w:rPr>
                <w:rFonts w:ascii="Muli" w:eastAsia="Muli" w:hAnsi="Muli" w:cs="Muli"/>
                <w:b/>
                <w:color w:val="FF126D"/>
                <w:sz w:val="20"/>
                <w:szCs w:val="20"/>
              </w:rPr>
              <w:t>DQ4L4 TE p. 148</w:t>
            </w:r>
          </w:p>
        </w:tc>
      </w:tr>
      <w:tr w:rsidR="0078448E" w14:paraId="793C71EF" w14:textId="77777777">
        <w:trPr>
          <w:trHeight w:val="5520"/>
        </w:trPr>
        <w:tc>
          <w:tcPr>
            <w:tcW w:w="8865" w:type="dxa"/>
          </w:tcPr>
          <w:p w14:paraId="7DE12630" w14:textId="77777777" w:rsidR="0078448E" w:rsidRDefault="00DF4D5D">
            <w:pPr>
              <w:pStyle w:val="normal0"/>
              <w:numPr>
                <w:ilvl w:val="0"/>
                <w:numId w:val="5"/>
              </w:numPr>
              <w:ind w:right="135"/>
              <w:contextualSpacing/>
              <w:rPr>
                <w:rFonts w:ascii="Muli" w:eastAsia="Muli" w:hAnsi="Muli" w:cs="Muli"/>
                <w:sz w:val="20"/>
                <w:szCs w:val="20"/>
              </w:rPr>
            </w:pPr>
            <w:bookmarkStart w:id="0" w:name="_GoBack"/>
            <w:bookmarkEnd w:id="0"/>
            <w:r>
              <w:rPr>
                <w:rFonts w:ascii="Muli" w:eastAsia="Muli" w:hAnsi="Muli" w:cs="Muli"/>
                <w:sz w:val="20"/>
                <w:szCs w:val="20"/>
              </w:rPr>
              <w:lastRenderedPageBreak/>
              <w:t xml:space="preserve">Integrated Challenges interspersed throughout the TB support GATE students who have met the learning goals (DQ1L1 TB p. 4, DQ2L2 TB p. 28, DQ3L2 TB p. 51, </w:t>
            </w:r>
            <w:r>
              <w:rPr>
                <w:rFonts w:ascii="Muli" w:eastAsia="Muli" w:hAnsi="Muli" w:cs="Muli"/>
                <w:b/>
                <w:color w:val="FF126D"/>
                <w:sz w:val="20"/>
                <w:szCs w:val="20"/>
              </w:rPr>
              <w:t>DQ5L2 TB p. 103</w:t>
            </w:r>
            <w:r>
              <w:rPr>
                <w:rFonts w:ascii="Muli" w:eastAsia="Muli" w:hAnsi="Muli" w:cs="Muli"/>
                <w:sz w:val="20"/>
                <w:szCs w:val="20"/>
              </w:rPr>
              <w:t>).</w:t>
            </w:r>
          </w:p>
        </w:tc>
        <w:tc>
          <w:tcPr>
            <w:tcW w:w="5385" w:type="dxa"/>
          </w:tcPr>
          <w:p w14:paraId="41830DA7"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5BEFEE74" wp14:editId="1E9BC96F">
                  <wp:extent cx="2643188" cy="3147963"/>
                  <wp:effectExtent l="12700" t="12700" r="12700" b="12700"/>
                  <wp:docPr id="6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9"/>
                          <a:srcRect b="6630"/>
                          <a:stretch>
                            <a:fillRect/>
                          </a:stretch>
                        </pic:blipFill>
                        <pic:spPr>
                          <a:xfrm>
                            <a:off x="0" y="0"/>
                            <a:ext cx="2643188" cy="3147963"/>
                          </a:xfrm>
                          <a:prstGeom prst="rect">
                            <a:avLst/>
                          </a:prstGeom>
                          <a:ln w="12700">
                            <a:solidFill>
                              <a:srgbClr val="D9D9D9"/>
                            </a:solidFill>
                            <a:prstDash val="solid"/>
                          </a:ln>
                        </pic:spPr>
                      </pic:pic>
                    </a:graphicData>
                  </a:graphic>
                </wp:inline>
              </w:drawing>
            </w:r>
          </w:p>
          <w:p w14:paraId="5BAF9037" w14:textId="77777777" w:rsidR="0078448E" w:rsidRDefault="00DF4D5D">
            <w:pPr>
              <w:pStyle w:val="normal0"/>
              <w:ind w:left="90" w:right="135"/>
              <w:rPr>
                <w:rFonts w:ascii="Muli" w:eastAsia="Muli" w:hAnsi="Muli" w:cs="Muli"/>
                <w:b/>
                <w:sz w:val="20"/>
                <w:szCs w:val="20"/>
              </w:rPr>
            </w:pPr>
            <w:r>
              <w:rPr>
                <w:rFonts w:ascii="Muli" w:eastAsia="Muli" w:hAnsi="Muli" w:cs="Muli"/>
                <w:b/>
                <w:color w:val="FF126D"/>
                <w:sz w:val="20"/>
                <w:szCs w:val="20"/>
              </w:rPr>
              <w:t>DQ5L2 TB p. 103</w:t>
            </w:r>
          </w:p>
        </w:tc>
      </w:tr>
      <w:tr w:rsidR="0078448E" w14:paraId="5898F328" w14:textId="77777777">
        <w:trPr>
          <w:trHeight w:val="3960"/>
        </w:trPr>
        <w:tc>
          <w:tcPr>
            <w:tcW w:w="8865" w:type="dxa"/>
          </w:tcPr>
          <w:p w14:paraId="1EEBC381" w14:textId="77777777" w:rsidR="0078448E" w:rsidRDefault="0078448E">
            <w:pPr>
              <w:pStyle w:val="normal0"/>
              <w:ind w:right="135"/>
              <w:rPr>
                <w:rFonts w:ascii="Muli" w:eastAsia="Muli" w:hAnsi="Muli" w:cs="Muli"/>
                <w:sz w:val="20"/>
                <w:szCs w:val="20"/>
              </w:rPr>
            </w:pPr>
          </w:p>
          <w:p w14:paraId="55B7F212" w14:textId="77777777" w:rsidR="0078448E" w:rsidRDefault="00DF4D5D">
            <w:pPr>
              <w:pStyle w:val="normal0"/>
              <w:numPr>
                <w:ilvl w:val="0"/>
                <w:numId w:val="5"/>
              </w:numPr>
              <w:ind w:right="135"/>
              <w:contextualSpacing/>
              <w:rPr>
                <w:rFonts w:ascii="Muli" w:eastAsia="Muli" w:hAnsi="Muli" w:cs="Muli"/>
                <w:sz w:val="20"/>
                <w:szCs w:val="20"/>
              </w:rPr>
            </w:pPr>
            <w:r>
              <w:rPr>
                <w:rFonts w:ascii="Muli" w:eastAsia="Muli" w:hAnsi="Muli" w:cs="Muli"/>
                <w:sz w:val="20"/>
                <w:szCs w:val="20"/>
              </w:rPr>
              <w:t xml:space="preserve">Videos like </w:t>
            </w:r>
            <w:r>
              <w:rPr>
                <w:rFonts w:ascii="Muli" w:eastAsia="Muli" w:hAnsi="Muli" w:cs="Muli"/>
                <w:b/>
                <w:color w:val="FF126D"/>
                <w:sz w:val="20"/>
                <w:szCs w:val="20"/>
              </w:rPr>
              <w:t>Time-Lapse of a Plant (DQ1L1)</w:t>
            </w:r>
            <w:r>
              <w:rPr>
                <w:rFonts w:ascii="Muli" w:eastAsia="Muli" w:hAnsi="Muli" w:cs="Muli"/>
                <w:sz w:val="20"/>
                <w:szCs w:val="20"/>
              </w:rPr>
              <w:t xml:space="preserve">, Butterfly’s Breakfast (DQ2L5), Decomposers: Breaking it Down (DQ5L2), and Wolves in Yellowstone (DQ6L2) </w:t>
            </w:r>
            <w:proofErr w:type="gramStart"/>
            <w:r>
              <w:rPr>
                <w:rFonts w:ascii="Muli" w:eastAsia="Muli" w:hAnsi="Muli" w:cs="Muli"/>
                <w:sz w:val="20"/>
                <w:szCs w:val="20"/>
              </w:rPr>
              <w:t>bring</w:t>
            </w:r>
            <w:proofErr w:type="gramEnd"/>
            <w:r>
              <w:rPr>
                <w:rFonts w:ascii="Muli" w:eastAsia="Muli" w:hAnsi="Muli" w:cs="Muli"/>
                <w:sz w:val="20"/>
                <w:szCs w:val="20"/>
              </w:rPr>
              <w:t xml:space="preserve"> phenomena and concepts to life for all students. </w:t>
            </w:r>
          </w:p>
          <w:p w14:paraId="0CCE7DF3" w14:textId="77777777" w:rsidR="0078448E" w:rsidRDefault="0078448E">
            <w:pPr>
              <w:pStyle w:val="normal0"/>
              <w:pBdr>
                <w:top w:val="nil"/>
                <w:left w:val="nil"/>
                <w:bottom w:val="nil"/>
                <w:right w:val="nil"/>
                <w:between w:val="nil"/>
              </w:pBdr>
              <w:ind w:left="180"/>
              <w:rPr>
                <w:rFonts w:ascii="Muli" w:eastAsia="Muli" w:hAnsi="Muli" w:cs="Muli"/>
                <w:sz w:val="20"/>
                <w:szCs w:val="20"/>
              </w:rPr>
            </w:pPr>
          </w:p>
          <w:p w14:paraId="68C28BD9" w14:textId="77777777" w:rsidR="0078448E" w:rsidRDefault="0078448E">
            <w:pPr>
              <w:pStyle w:val="normal0"/>
              <w:pBdr>
                <w:top w:val="nil"/>
                <w:left w:val="nil"/>
                <w:bottom w:val="nil"/>
                <w:right w:val="nil"/>
                <w:between w:val="nil"/>
              </w:pBdr>
              <w:rPr>
                <w:rFonts w:ascii="Muli" w:eastAsia="Muli" w:hAnsi="Muli" w:cs="Muli"/>
                <w:sz w:val="20"/>
                <w:szCs w:val="20"/>
              </w:rPr>
            </w:pPr>
          </w:p>
        </w:tc>
        <w:tc>
          <w:tcPr>
            <w:tcW w:w="5385" w:type="dxa"/>
          </w:tcPr>
          <w:p w14:paraId="0A7BE2FF" w14:textId="77777777" w:rsidR="0078448E" w:rsidRDefault="00DF4D5D">
            <w:pPr>
              <w:pStyle w:val="normal0"/>
              <w:pBdr>
                <w:top w:val="nil"/>
                <w:left w:val="nil"/>
                <w:bottom w:val="nil"/>
                <w:right w:val="nil"/>
                <w:between w:val="nil"/>
              </w:pBdr>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598B7360" wp14:editId="55D611B9">
                  <wp:extent cx="2824163" cy="2240397"/>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2824163" cy="2240397"/>
                          </a:xfrm>
                          <a:prstGeom prst="rect">
                            <a:avLst/>
                          </a:prstGeom>
                          <a:ln/>
                        </pic:spPr>
                      </pic:pic>
                    </a:graphicData>
                  </a:graphic>
                </wp:inline>
              </w:drawing>
            </w:r>
          </w:p>
          <w:p w14:paraId="4DBFF7F9" w14:textId="77777777" w:rsidR="0078448E" w:rsidRDefault="00DF4D5D">
            <w:pPr>
              <w:pStyle w:val="normal0"/>
              <w:ind w:right="135" w:firstLine="90"/>
              <w:rPr>
                <w:rFonts w:ascii="Muli" w:eastAsia="Muli" w:hAnsi="Muli" w:cs="Muli"/>
                <w:b/>
                <w:sz w:val="20"/>
                <w:szCs w:val="20"/>
              </w:rPr>
            </w:pPr>
            <w:r>
              <w:rPr>
                <w:rFonts w:ascii="Muli" w:eastAsia="Muli" w:hAnsi="Muli" w:cs="Muli"/>
                <w:b/>
                <w:color w:val="FF126D"/>
                <w:sz w:val="20"/>
                <w:szCs w:val="20"/>
              </w:rPr>
              <w:t>Time-Lapse of a Plant (DQ1L1)</w:t>
            </w:r>
          </w:p>
        </w:tc>
      </w:tr>
    </w:tbl>
    <w:p w14:paraId="7EB52E5A" w14:textId="77777777" w:rsidR="0078448E" w:rsidRDefault="0078448E">
      <w:pPr>
        <w:pStyle w:val="normal0"/>
        <w:spacing w:line="276" w:lineRule="auto"/>
        <w:ind w:left="180"/>
        <w:rPr>
          <w:rFonts w:ascii="Muli" w:eastAsia="Muli" w:hAnsi="Muli" w:cs="Muli"/>
          <w:sz w:val="20"/>
          <w:szCs w:val="20"/>
        </w:rPr>
      </w:pPr>
    </w:p>
    <w:p w14:paraId="07C03752" w14:textId="77777777" w:rsidR="0078448E" w:rsidRDefault="0078448E">
      <w:pPr>
        <w:pStyle w:val="normal0"/>
        <w:spacing w:line="276" w:lineRule="auto"/>
        <w:ind w:left="180"/>
        <w:rPr>
          <w:rFonts w:ascii="Muli" w:eastAsia="Muli" w:hAnsi="Muli" w:cs="Muli"/>
          <w:sz w:val="20"/>
          <w:szCs w:val="20"/>
        </w:rPr>
      </w:pPr>
    </w:p>
    <w:p w14:paraId="74170BBE" w14:textId="77777777" w:rsidR="0078448E" w:rsidRDefault="0078448E">
      <w:pPr>
        <w:pStyle w:val="normal0"/>
        <w:spacing w:line="276" w:lineRule="auto"/>
        <w:ind w:left="180"/>
        <w:rPr>
          <w:rFonts w:ascii="Muli" w:eastAsia="Muli" w:hAnsi="Muli" w:cs="Muli"/>
          <w:sz w:val="20"/>
          <w:szCs w:val="20"/>
        </w:rPr>
      </w:pPr>
    </w:p>
    <w:tbl>
      <w:tblPr>
        <w:tblStyle w:val="a0"/>
        <w:tblW w:w="1434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2370"/>
        <w:gridCol w:w="2370"/>
        <w:gridCol w:w="2370"/>
      </w:tblGrid>
      <w:tr w:rsidR="0078448E" w14:paraId="1F5ED9AD" w14:textId="77777777">
        <w:trPr>
          <w:trHeight w:val="480"/>
        </w:trPr>
        <w:tc>
          <w:tcPr>
            <w:tcW w:w="7230" w:type="dxa"/>
            <w:shd w:val="clear" w:color="auto" w:fill="2F5496"/>
          </w:tcPr>
          <w:p w14:paraId="332A78C0" w14:textId="77777777" w:rsidR="0078448E" w:rsidRDefault="00DF4D5D">
            <w:pPr>
              <w:pStyle w:val="normal0"/>
              <w:spacing w:before="222"/>
              <w:ind w:left="270"/>
              <w:rPr>
                <w:rFonts w:ascii="Muli" w:eastAsia="Muli" w:hAnsi="Muli" w:cs="Muli"/>
                <w:b/>
                <w:color w:val="FFFFFF"/>
                <w:sz w:val="20"/>
                <w:szCs w:val="20"/>
              </w:rPr>
            </w:pPr>
            <w:r>
              <w:rPr>
                <w:rFonts w:ascii="Muli" w:eastAsia="Muli" w:hAnsi="Muli" w:cs="Muli"/>
                <w:b/>
                <w:color w:val="FFFFFF"/>
                <w:sz w:val="20"/>
                <w:szCs w:val="20"/>
              </w:rPr>
              <w:lastRenderedPageBreak/>
              <w:t>Designed for the NGSS: Foundations</w:t>
            </w:r>
          </w:p>
        </w:tc>
        <w:tc>
          <w:tcPr>
            <w:tcW w:w="2370" w:type="dxa"/>
            <w:shd w:val="clear" w:color="auto" w:fill="2F5496"/>
          </w:tcPr>
          <w:p w14:paraId="7F6739FC" w14:textId="77777777" w:rsidR="0078448E" w:rsidRDefault="00DF4D5D">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High Quality </w:t>
            </w:r>
          </w:p>
          <w:p w14:paraId="36286964" w14:textId="77777777" w:rsidR="0078448E" w:rsidRDefault="00DF4D5D">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5</w:t>
            </w:r>
          </w:p>
        </w:tc>
        <w:tc>
          <w:tcPr>
            <w:tcW w:w="2370" w:type="dxa"/>
            <w:shd w:val="clear" w:color="auto" w:fill="2F5496"/>
          </w:tcPr>
          <w:p w14:paraId="475FEA15" w14:textId="77777777" w:rsidR="0078448E" w:rsidRDefault="00DF4D5D">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Medium Quality </w:t>
            </w:r>
          </w:p>
          <w:p w14:paraId="45A40FC7" w14:textId="77777777" w:rsidR="0078448E" w:rsidRDefault="00DF4D5D">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3</w:t>
            </w:r>
          </w:p>
        </w:tc>
        <w:tc>
          <w:tcPr>
            <w:tcW w:w="2370" w:type="dxa"/>
            <w:shd w:val="clear" w:color="auto" w:fill="2F5496"/>
          </w:tcPr>
          <w:p w14:paraId="41FE3191" w14:textId="77777777" w:rsidR="0078448E" w:rsidRDefault="00DF4D5D">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Low Quality </w:t>
            </w:r>
          </w:p>
          <w:p w14:paraId="4FC04D35" w14:textId="77777777" w:rsidR="0078448E" w:rsidRDefault="00DF4D5D">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1</w:t>
            </w:r>
          </w:p>
        </w:tc>
      </w:tr>
      <w:tr w:rsidR="0078448E" w14:paraId="78C134AE" w14:textId="77777777">
        <w:trPr>
          <w:trHeight w:val="1460"/>
        </w:trPr>
        <w:tc>
          <w:tcPr>
            <w:tcW w:w="7230" w:type="dxa"/>
          </w:tcPr>
          <w:p w14:paraId="14D17926" w14:textId="77777777" w:rsidR="0078448E" w:rsidRDefault="00DF4D5D">
            <w:pPr>
              <w:pStyle w:val="normal0"/>
              <w:spacing w:before="1"/>
              <w:ind w:left="180"/>
              <w:rPr>
                <w:rFonts w:ascii="Muli" w:eastAsia="Muli" w:hAnsi="Muli" w:cs="Muli"/>
                <w:sz w:val="20"/>
                <w:szCs w:val="20"/>
              </w:rPr>
            </w:pPr>
            <w:r>
              <w:rPr>
                <w:rFonts w:ascii="Muli" w:eastAsia="Muli" w:hAnsi="Muli" w:cs="Muli"/>
                <w:b/>
                <w:sz w:val="20"/>
                <w:szCs w:val="20"/>
              </w:rPr>
              <w:t xml:space="preserve">SW1. Phenomena/Problems. </w:t>
            </w:r>
            <w:r>
              <w:rPr>
                <w:rFonts w:ascii="Muli" w:eastAsia="Muli" w:hAnsi="Muli" w:cs="Muli"/>
                <w:sz w:val="20"/>
                <w:szCs w:val="20"/>
              </w:rPr>
              <w:t>Materials provide phenomena/problems that:</w:t>
            </w:r>
          </w:p>
          <w:p w14:paraId="43215C3B" w14:textId="77777777" w:rsidR="0078448E" w:rsidRDefault="00DF4D5D">
            <w:pPr>
              <w:pStyle w:val="normal0"/>
              <w:numPr>
                <w:ilvl w:val="0"/>
                <w:numId w:val="4"/>
              </w:numPr>
              <w:tabs>
                <w:tab w:val="left" w:pos="460"/>
                <w:tab w:val="left" w:pos="461"/>
              </w:tabs>
              <w:spacing w:before="1"/>
              <w:contextualSpacing/>
              <w:rPr>
                <w:rFonts w:ascii="Muli" w:eastAsia="Muli" w:hAnsi="Muli" w:cs="Muli"/>
                <w:sz w:val="20"/>
                <w:szCs w:val="20"/>
              </w:rPr>
            </w:pPr>
            <w:proofErr w:type="gramStart"/>
            <w:r>
              <w:rPr>
                <w:rFonts w:ascii="Muli" w:eastAsia="Muli" w:hAnsi="Muli" w:cs="Muli"/>
                <w:sz w:val="20"/>
                <w:szCs w:val="20"/>
              </w:rPr>
              <w:t>engage</w:t>
            </w:r>
            <w:proofErr w:type="gramEnd"/>
            <w:r>
              <w:rPr>
                <w:rFonts w:ascii="Muli" w:eastAsia="Muli" w:hAnsi="Muli" w:cs="Muli"/>
                <w:sz w:val="20"/>
                <w:szCs w:val="20"/>
              </w:rPr>
              <w:t xml:space="preserve"> students as directly as possible in authentic and relevant experiences;</w:t>
            </w:r>
          </w:p>
          <w:p w14:paraId="71DC0A77" w14:textId="77777777" w:rsidR="0078448E" w:rsidRDefault="00DF4D5D">
            <w:pPr>
              <w:pStyle w:val="normal0"/>
              <w:numPr>
                <w:ilvl w:val="0"/>
                <w:numId w:val="4"/>
              </w:numPr>
              <w:tabs>
                <w:tab w:val="left" w:pos="460"/>
                <w:tab w:val="left" w:pos="461"/>
              </w:tabs>
              <w:spacing w:line="242" w:lineRule="auto"/>
              <w:contextualSpacing/>
              <w:rPr>
                <w:rFonts w:ascii="Muli" w:eastAsia="Muli" w:hAnsi="Muli" w:cs="Muli"/>
                <w:sz w:val="20"/>
                <w:szCs w:val="20"/>
              </w:rPr>
            </w:pPr>
            <w:proofErr w:type="gramStart"/>
            <w:r>
              <w:rPr>
                <w:rFonts w:ascii="Muli" w:eastAsia="Muli" w:hAnsi="Muli" w:cs="Muli"/>
                <w:sz w:val="20"/>
                <w:szCs w:val="20"/>
              </w:rPr>
              <w:t>are</w:t>
            </w:r>
            <w:proofErr w:type="gramEnd"/>
            <w:r>
              <w:rPr>
                <w:rFonts w:ascii="Muli" w:eastAsia="Muli" w:hAnsi="Muli" w:cs="Muli"/>
                <w:sz w:val="20"/>
                <w:szCs w:val="20"/>
              </w:rPr>
              <w:t xml:space="preserve"> matched to targeted learning goals;</w:t>
            </w:r>
          </w:p>
          <w:p w14:paraId="218A5891" w14:textId="77777777" w:rsidR="0078448E" w:rsidRDefault="00DF4D5D">
            <w:pPr>
              <w:pStyle w:val="normal0"/>
              <w:numPr>
                <w:ilvl w:val="0"/>
                <w:numId w:val="4"/>
              </w:numPr>
              <w:tabs>
                <w:tab w:val="left" w:pos="460"/>
                <w:tab w:val="left" w:pos="461"/>
              </w:tabs>
              <w:spacing w:line="242" w:lineRule="auto"/>
              <w:contextualSpacing/>
              <w:rPr>
                <w:rFonts w:ascii="Muli" w:eastAsia="Muli" w:hAnsi="Muli" w:cs="Muli"/>
                <w:sz w:val="20"/>
                <w:szCs w:val="20"/>
              </w:rPr>
            </w:pPr>
            <w:proofErr w:type="gramStart"/>
            <w:r>
              <w:rPr>
                <w:rFonts w:ascii="Muli" w:eastAsia="Muli" w:hAnsi="Muli" w:cs="Muli"/>
                <w:sz w:val="20"/>
                <w:szCs w:val="20"/>
              </w:rPr>
              <w:t>can</w:t>
            </w:r>
            <w:proofErr w:type="gramEnd"/>
            <w:r>
              <w:rPr>
                <w:rFonts w:ascii="Muli" w:eastAsia="Muli" w:hAnsi="Muli" w:cs="Muli"/>
                <w:sz w:val="20"/>
                <w:szCs w:val="20"/>
              </w:rPr>
              <w:t xml:space="preserve"> be figured out/solved using scientifically accurate understandings and abilities;</w:t>
            </w:r>
          </w:p>
          <w:p w14:paraId="5374645A" w14:textId="77777777" w:rsidR="0078448E" w:rsidRDefault="00DF4D5D">
            <w:pPr>
              <w:pStyle w:val="normal0"/>
              <w:numPr>
                <w:ilvl w:val="0"/>
                <w:numId w:val="4"/>
              </w:numPr>
              <w:tabs>
                <w:tab w:val="left" w:pos="460"/>
                <w:tab w:val="left" w:pos="461"/>
              </w:tabs>
              <w:spacing w:before="1"/>
              <w:ind w:right="794"/>
              <w:contextualSpacing/>
              <w:rPr>
                <w:rFonts w:ascii="Muli" w:eastAsia="Muli" w:hAnsi="Muli" w:cs="Muli"/>
                <w:sz w:val="20"/>
                <w:szCs w:val="20"/>
              </w:rPr>
            </w:pPr>
            <w:proofErr w:type="gramStart"/>
            <w:r>
              <w:rPr>
                <w:rFonts w:ascii="Muli" w:eastAsia="Muli" w:hAnsi="Muli" w:cs="Muli"/>
                <w:sz w:val="20"/>
                <w:szCs w:val="20"/>
              </w:rPr>
              <w:t>make</w:t>
            </w:r>
            <w:proofErr w:type="gramEnd"/>
            <w:r>
              <w:rPr>
                <w:rFonts w:ascii="Muli" w:eastAsia="Muli" w:hAnsi="Muli" w:cs="Muli"/>
                <w:sz w:val="20"/>
                <w:szCs w:val="20"/>
              </w:rPr>
              <w:t xml:space="preserve"> connections beyond and to their daily lives, including to their homes, neighborhoods, communities, and/or cultures.</w:t>
            </w:r>
          </w:p>
        </w:tc>
        <w:tc>
          <w:tcPr>
            <w:tcW w:w="2370" w:type="dxa"/>
          </w:tcPr>
          <w:p w14:paraId="333ABAF2" w14:textId="77777777" w:rsidR="0078448E" w:rsidRDefault="00DF4D5D">
            <w:pPr>
              <w:pStyle w:val="normal0"/>
              <w:spacing w:before="1"/>
              <w:ind w:left="180" w:right="120"/>
              <w:rPr>
                <w:rFonts w:ascii="Muli" w:eastAsia="Muli" w:hAnsi="Muli" w:cs="Muli"/>
                <w:sz w:val="20"/>
                <w:szCs w:val="20"/>
              </w:rPr>
            </w:pPr>
            <w:r>
              <w:rPr>
                <w:rFonts w:ascii="Muli" w:eastAsia="Muli" w:hAnsi="Muli" w:cs="Muli"/>
                <w:sz w:val="20"/>
                <w:szCs w:val="20"/>
              </w:rPr>
              <w:t>Materials consistently offer quality phenomena/pr</w:t>
            </w:r>
            <w:r>
              <w:rPr>
                <w:rFonts w:ascii="Muli" w:eastAsia="Muli" w:hAnsi="Muli" w:cs="Muli"/>
                <w:sz w:val="20"/>
                <w:szCs w:val="20"/>
              </w:rPr>
              <w:t>oblems sufficient to motivate and drive student learning.</w:t>
            </w:r>
          </w:p>
        </w:tc>
        <w:tc>
          <w:tcPr>
            <w:tcW w:w="2370" w:type="dxa"/>
          </w:tcPr>
          <w:p w14:paraId="6F229F1E" w14:textId="77777777" w:rsidR="0078448E" w:rsidRDefault="00DF4D5D">
            <w:pPr>
              <w:pStyle w:val="normal0"/>
              <w:spacing w:before="1"/>
              <w:ind w:left="180" w:right="142"/>
              <w:rPr>
                <w:rFonts w:ascii="Muli" w:eastAsia="Muli" w:hAnsi="Muli" w:cs="Muli"/>
                <w:sz w:val="20"/>
                <w:szCs w:val="20"/>
              </w:rPr>
            </w:pPr>
            <w:r>
              <w:rPr>
                <w:rFonts w:ascii="Muli" w:eastAsia="Muli" w:hAnsi="Muli" w:cs="Muli"/>
                <w:sz w:val="20"/>
                <w:szCs w:val="20"/>
              </w:rPr>
              <w:t>Materials sometimes offer quality phenomena/problems sufficient to motivate and drive student learning.</w:t>
            </w:r>
          </w:p>
        </w:tc>
        <w:tc>
          <w:tcPr>
            <w:tcW w:w="2370" w:type="dxa"/>
          </w:tcPr>
          <w:p w14:paraId="1E3F2D7F" w14:textId="77777777" w:rsidR="0078448E" w:rsidRDefault="00DF4D5D">
            <w:pPr>
              <w:pStyle w:val="normal0"/>
              <w:spacing w:before="1"/>
              <w:ind w:left="180" w:right="445"/>
              <w:rPr>
                <w:rFonts w:ascii="Muli" w:eastAsia="Muli" w:hAnsi="Muli" w:cs="Muli"/>
                <w:sz w:val="20"/>
                <w:szCs w:val="20"/>
              </w:rPr>
            </w:pPr>
            <w:r>
              <w:rPr>
                <w:rFonts w:ascii="Muli" w:eastAsia="Muli" w:hAnsi="Muli" w:cs="Muli"/>
                <w:sz w:val="20"/>
                <w:szCs w:val="20"/>
              </w:rPr>
              <w:t>Materials rarely offer quality phenomena/problems sufficient to motivate and drive student learning.</w:t>
            </w:r>
          </w:p>
        </w:tc>
      </w:tr>
      <w:tr w:rsidR="0078448E" w14:paraId="28EF3483" w14:textId="77777777">
        <w:trPr>
          <w:trHeight w:val="2180"/>
        </w:trPr>
        <w:tc>
          <w:tcPr>
            <w:tcW w:w="7230" w:type="dxa"/>
          </w:tcPr>
          <w:p w14:paraId="270EE55B" w14:textId="77777777" w:rsidR="0078448E" w:rsidRDefault="00DF4D5D">
            <w:pPr>
              <w:pStyle w:val="normal0"/>
              <w:spacing w:before="1"/>
              <w:ind w:left="180" w:right="157"/>
              <w:rPr>
                <w:rFonts w:ascii="Muli" w:eastAsia="Muli" w:hAnsi="Muli" w:cs="Muli"/>
                <w:sz w:val="20"/>
                <w:szCs w:val="20"/>
              </w:rPr>
            </w:pPr>
            <w:r>
              <w:rPr>
                <w:rFonts w:ascii="Muli" w:eastAsia="Muli" w:hAnsi="Muli" w:cs="Muli"/>
                <w:b/>
                <w:color w:val="1C1C1C"/>
                <w:sz w:val="20"/>
                <w:szCs w:val="20"/>
              </w:rPr>
              <w:t xml:space="preserve">SW2. Three-dimensional Conceptual Framework. </w:t>
            </w:r>
            <w:r>
              <w:rPr>
                <w:rFonts w:ascii="Muli" w:eastAsia="Muli" w:hAnsi="Muli" w:cs="Muli"/>
                <w:color w:val="1C1C1C"/>
                <w:sz w:val="20"/>
                <w:szCs w:val="20"/>
              </w:rPr>
              <w:t>Materials include learning experiences that help students to build scientifically accurate understandings and</w:t>
            </w:r>
            <w:r>
              <w:rPr>
                <w:rFonts w:ascii="Muli" w:eastAsia="Muli" w:hAnsi="Muli" w:cs="Muli"/>
                <w:color w:val="1C1C1C"/>
                <w:sz w:val="20"/>
                <w:szCs w:val="20"/>
              </w:rPr>
              <w:t xml:space="preserve"> abilities through opportunities for students to:</w:t>
            </w:r>
          </w:p>
          <w:p w14:paraId="0181AE80" w14:textId="77777777" w:rsidR="0078448E" w:rsidRDefault="00DF4D5D">
            <w:pPr>
              <w:pStyle w:val="normal0"/>
              <w:numPr>
                <w:ilvl w:val="0"/>
                <w:numId w:val="6"/>
              </w:numPr>
              <w:tabs>
                <w:tab w:val="left" w:pos="474"/>
                <w:tab w:val="left" w:pos="475"/>
              </w:tabs>
              <w:spacing w:line="244" w:lineRule="auto"/>
              <w:contextualSpacing/>
              <w:rPr>
                <w:rFonts w:ascii="Muli" w:eastAsia="Muli" w:hAnsi="Muli" w:cs="Muli"/>
                <w:color w:val="1C1C1C"/>
                <w:sz w:val="20"/>
                <w:szCs w:val="20"/>
              </w:rPr>
            </w:pPr>
            <w:proofErr w:type="gramStart"/>
            <w:r>
              <w:rPr>
                <w:rFonts w:ascii="Muli" w:eastAsia="Muli" w:hAnsi="Muli" w:cs="Muli"/>
                <w:color w:val="1C1C1C"/>
                <w:sz w:val="20"/>
                <w:szCs w:val="20"/>
              </w:rPr>
              <w:t>link</w:t>
            </w:r>
            <w:proofErr w:type="gramEnd"/>
            <w:r>
              <w:rPr>
                <w:rFonts w:ascii="Muli" w:eastAsia="Muli" w:hAnsi="Muli" w:cs="Muli"/>
                <w:color w:val="1C1C1C"/>
                <w:sz w:val="20"/>
                <w:szCs w:val="20"/>
              </w:rPr>
              <w:t xml:space="preserve"> prior knowledge to negotiated new understanding and abilities;</w:t>
            </w:r>
          </w:p>
          <w:p w14:paraId="67102131" w14:textId="77777777" w:rsidR="0078448E" w:rsidRDefault="00DF4D5D">
            <w:pPr>
              <w:pStyle w:val="normal0"/>
              <w:numPr>
                <w:ilvl w:val="0"/>
                <w:numId w:val="6"/>
              </w:numPr>
              <w:tabs>
                <w:tab w:val="left" w:pos="460"/>
                <w:tab w:val="left" w:pos="461"/>
              </w:tabs>
              <w:spacing w:before="1" w:line="242" w:lineRule="auto"/>
              <w:contextualSpacing/>
              <w:rPr>
                <w:rFonts w:ascii="Muli" w:eastAsia="Muli" w:hAnsi="Muli" w:cs="Muli"/>
                <w:sz w:val="20"/>
                <w:szCs w:val="20"/>
              </w:rPr>
            </w:pPr>
            <w:proofErr w:type="gramStart"/>
            <w:r>
              <w:rPr>
                <w:rFonts w:ascii="Muli" w:eastAsia="Muli" w:hAnsi="Muli" w:cs="Muli"/>
                <w:color w:val="1C1C1C"/>
                <w:sz w:val="20"/>
                <w:szCs w:val="20"/>
              </w:rPr>
              <w:t>use</w:t>
            </w:r>
            <w:proofErr w:type="gramEnd"/>
            <w:r>
              <w:rPr>
                <w:rFonts w:ascii="Muli" w:eastAsia="Muli" w:hAnsi="Muli" w:cs="Muli"/>
                <w:color w:val="1C1C1C"/>
                <w:sz w:val="20"/>
                <w:szCs w:val="20"/>
              </w:rPr>
              <w:t xml:space="preserve"> r</w:t>
            </w:r>
            <w:r>
              <w:rPr>
                <w:rFonts w:ascii="Muli" w:eastAsia="Muli" w:hAnsi="Muli" w:cs="Muli"/>
                <w:sz w:val="20"/>
                <w:szCs w:val="20"/>
              </w:rPr>
              <w:t>easoning to connect grade-appropriate SEP, DCI, and CCC elements;</w:t>
            </w:r>
          </w:p>
          <w:p w14:paraId="70D63395" w14:textId="77777777" w:rsidR="0078448E" w:rsidRDefault="00DF4D5D">
            <w:pPr>
              <w:pStyle w:val="normal0"/>
              <w:numPr>
                <w:ilvl w:val="0"/>
                <w:numId w:val="6"/>
              </w:numPr>
              <w:tabs>
                <w:tab w:val="left" w:pos="460"/>
                <w:tab w:val="left" w:pos="461"/>
              </w:tabs>
              <w:spacing w:line="242" w:lineRule="auto"/>
              <w:contextualSpacing/>
              <w:rPr>
                <w:rFonts w:ascii="Muli" w:eastAsia="Muli" w:hAnsi="Muli" w:cs="Muli"/>
                <w:sz w:val="20"/>
                <w:szCs w:val="20"/>
              </w:rPr>
            </w:pPr>
            <w:proofErr w:type="gramStart"/>
            <w:r>
              <w:rPr>
                <w:rFonts w:ascii="Muli" w:eastAsia="Muli" w:hAnsi="Muli" w:cs="Muli"/>
                <w:sz w:val="20"/>
                <w:szCs w:val="20"/>
              </w:rPr>
              <w:t>ask</w:t>
            </w:r>
            <w:proofErr w:type="gramEnd"/>
            <w:r>
              <w:rPr>
                <w:rFonts w:ascii="Muli" w:eastAsia="Muli" w:hAnsi="Muli" w:cs="Muli"/>
                <w:sz w:val="20"/>
                <w:szCs w:val="20"/>
              </w:rPr>
              <w:t xml:space="preserve"> and answer questions that link learning over time;</w:t>
            </w:r>
          </w:p>
          <w:p w14:paraId="6485DE2D" w14:textId="77777777" w:rsidR="0078448E" w:rsidRDefault="00DF4D5D">
            <w:pPr>
              <w:pStyle w:val="normal0"/>
              <w:numPr>
                <w:ilvl w:val="0"/>
                <w:numId w:val="6"/>
              </w:numPr>
              <w:tabs>
                <w:tab w:val="left" w:pos="460"/>
                <w:tab w:val="left" w:pos="461"/>
              </w:tabs>
              <w:ind w:right="250"/>
              <w:contextualSpacing/>
              <w:rPr>
                <w:rFonts w:ascii="Muli" w:eastAsia="Muli" w:hAnsi="Muli" w:cs="Muli"/>
                <w:color w:val="1C1C1C"/>
                <w:sz w:val="20"/>
                <w:szCs w:val="20"/>
              </w:rPr>
            </w:pPr>
            <w:proofErr w:type="gramStart"/>
            <w:r>
              <w:rPr>
                <w:rFonts w:ascii="Muli" w:eastAsia="Muli" w:hAnsi="Muli" w:cs="Muli"/>
                <w:color w:val="1C1C1C"/>
                <w:sz w:val="20"/>
                <w:szCs w:val="20"/>
              </w:rPr>
              <w:t>negotiate</w:t>
            </w:r>
            <w:proofErr w:type="gramEnd"/>
            <w:r>
              <w:rPr>
                <w:rFonts w:ascii="Muli" w:eastAsia="Muli" w:hAnsi="Muli" w:cs="Muli"/>
                <w:color w:val="1C1C1C"/>
                <w:sz w:val="20"/>
                <w:szCs w:val="20"/>
              </w:rPr>
              <w:t xml:space="preserve"> new understandings and abilities by comparing their ideas, their peers’ ideas, and ideas encountered in the learning experience(s);</w:t>
            </w:r>
          </w:p>
          <w:p w14:paraId="7EA958B5" w14:textId="77777777" w:rsidR="0078448E" w:rsidRDefault="00DF4D5D">
            <w:pPr>
              <w:pStyle w:val="normal0"/>
              <w:numPr>
                <w:ilvl w:val="0"/>
                <w:numId w:val="6"/>
              </w:numPr>
              <w:tabs>
                <w:tab w:val="left" w:pos="460"/>
                <w:tab w:val="left" w:pos="461"/>
              </w:tabs>
              <w:spacing w:before="2"/>
              <w:contextualSpacing/>
              <w:rPr>
                <w:rFonts w:ascii="Muli" w:eastAsia="Muli" w:hAnsi="Muli" w:cs="Muli"/>
                <w:color w:val="1C1C1C"/>
                <w:sz w:val="20"/>
                <w:szCs w:val="20"/>
              </w:rPr>
            </w:pPr>
            <w:proofErr w:type="gramStart"/>
            <w:r>
              <w:rPr>
                <w:rFonts w:ascii="Muli" w:eastAsia="Muli" w:hAnsi="Muli" w:cs="Muli"/>
                <w:color w:val="1C1C1C"/>
                <w:sz w:val="20"/>
                <w:szCs w:val="20"/>
              </w:rPr>
              <w:t>apply</w:t>
            </w:r>
            <w:proofErr w:type="gramEnd"/>
            <w:r>
              <w:rPr>
                <w:rFonts w:ascii="Muli" w:eastAsia="Muli" w:hAnsi="Muli" w:cs="Muli"/>
                <w:color w:val="1C1C1C"/>
                <w:sz w:val="20"/>
                <w:szCs w:val="20"/>
              </w:rPr>
              <w:t xml:space="preserve"> their understandings and abilities in a variety of ways.</w:t>
            </w:r>
          </w:p>
        </w:tc>
        <w:tc>
          <w:tcPr>
            <w:tcW w:w="2370" w:type="dxa"/>
          </w:tcPr>
          <w:p w14:paraId="41BD1B54" w14:textId="77777777" w:rsidR="0078448E" w:rsidRDefault="00DF4D5D">
            <w:pPr>
              <w:pStyle w:val="normal0"/>
              <w:spacing w:before="1"/>
              <w:ind w:left="180" w:right="120"/>
              <w:rPr>
                <w:rFonts w:ascii="Muli" w:eastAsia="Muli" w:hAnsi="Muli" w:cs="Muli"/>
                <w:sz w:val="20"/>
                <w:szCs w:val="20"/>
              </w:rPr>
            </w:pPr>
            <w:r>
              <w:rPr>
                <w:rFonts w:ascii="Muli" w:eastAsia="Muli" w:hAnsi="Muli" w:cs="Muli"/>
                <w:sz w:val="20"/>
                <w:szCs w:val="20"/>
              </w:rPr>
              <w:t>Materials consistently include learning experiences</w:t>
            </w:r>
            <w:r>
              <w:rPr>
                <w:rFonts w:ascii="Muli" w:eastAsia="Muli" w:hAnsi="Muli" w:cs="Muli"/>
                <w:sz w:val="20"/>
                <w:szCs w:val="20"/>
              </w:rPr>
              <w:t xml:space="preserve"> that help students build from prior experiences to negotiate new understandings and abilities, and apply their understandings in a variety of ways.</w:t>
            </w:r>
          </w:p>
        </w:tc>
        <w:tc>
          <w:tcPr>
            <w:tcW w:w="2370" w:type="dxa"/>
          </w:tcPr>
          <w:p w14:paraId="0ECE3DDC" w14:textId="77777777" w:rsidR="0078448E" w:rsidRDefault="00DF4D5D">
            <w:pPr>
              <w:pStyle w:val="normal0"/>
              <w:spacing w:before="1"/>
              <w:ind w:left="180" w:right="187"/>
              <w:rPr>
                <w:rFonts w:ascii="Muli" w:eastAsia="Muli" w:hAnsi="Muli" w:cs="Muli"/>
                <w:sz w:val="20"/>
                <w:szCs w:val="20"/>
              </w:rPr>
            </w:pPr>
            <w:r>
              <w:rPr>
                <w:rFonts w:ascii="Muli" w:eastAsia="Muli" w:hAnsi="Muli" w:cs="Muli"/>
                <w:sz w:val="20"/>
                <w:szCs w:val="20"/>
              </w:rPr>
              <w:t>Materials sometimes include learning experiences that help students build from prior experiences to negotia</w:t>
            </w:r>
            <w:r>
              <w:rPr>
                <w:rFonts w:ascii="Muli" w:eastAsia="Muli" w:hAnsi="Muli" w:cs="Muli"/>
                <w:sz w:val="20"/>
                <w:szCs w:val="20"/>
              </w:rPr>
              <w:t>te new understandings and abilities, and apply their understandings in a variety of ways.</w:t>
            </w:r>
          </w:p>
        </w:tc>
        <w:tc>
          <w:tcPr>
            <w:tcW w:w="2370" w:type="dxa"/>
          </w:tcPr>
          <w:p w14:paraId="1927DA52" w14:textId="77777777" w:rsidR="0078448E" w:rsidRDefault="00DF4D5D">
            <w:pPr>
              <w:pStyle w:val="normal0"/>
              <w:spacing w:before="1"/>
              <w:ind w:left="180" w:right="170"/>
              <w:rPr>
                <w:rFonts w:ascii="Muli" w:eastAsia="Muli" w:hAnsi="Muli" w:cs="Muli"/>
                <w:sz w:val="20"/>
                <w:szCs w:val="20"/>
              </w:rPr>
            </w:pPr>
            <w:r>
              <w:rPr>
                <w:rFonts w:ascii="Muli" w:eastAsia="Muli" w:hAnsi="Muli" w:cs="Muli"/>
                <w:sz w:val="20"/>
                <w:szCs w:val="20"/>
              </w:rPr>
              <w:t>Materials rarely include learning experiences that help students build from prior experiences to negotiate new understandings and abilities, and apply their understan</w:t>
            </w:r>
            <w:r>
              <w:rPr>
                <w:rFonts w:ascii="Muli" w:eastAsia="Muli" w:hAnsi="Muli" w:cs="Muli"/>
                <w:sz w:val="20"/>
                <w:szCs w:val="20"/>
              </w:rPr>
              <w:t>dings in a variety of ways.</w:t>
            </w:r>
          </w:p>
        </w:tc>
      </w:tr>
      <w:tr w:rsidR="0078448E" w14:paraId="1C3C1362" w14:textId="77777777">
        <w:trPr>
          <w:trHeight w:val="2280"/>
        </w:trPr>
        <w:tc>
          <w:tcPr>
            <w:tcW w:w="7230" w:type="dxa"/>
          </w:tcPr>
          <w:p w14:paraId="7BBE4C52" w14:textId="77777777" w:rsidR="0078448E" w:rsidRDefault="00DF4D5D">
            <w:pPr>
              <w:pStyle w:val="normal0"/>
              <w:ind w:left="180" w:right="157"/>
              <w:rPr>
                <w:rFonts w:ascii="Muli" w:eastAsia="Muli" w:hAnsi="Muli" w:cs="Muli"/>
                <w:sz w:val="20"/>
                <w:szCs w:val="20"/>
              </w:rPr>
            </w:pPr>
            <w:r>
              <w:rPr>
                <w:rFonts w:ascii="Muli" w:eastAsia="Muli" w:hAnsi="Muli" w:cs="Muli"/>
                <w:b/>
                <w:sz w:val="20"/>
                <w:szCs w:val="20"/>
              </w:rPr>
              <w:t xml:space="preserve">SW3. Prior Knowledge. </w:t>
            </w:r>
            <w:r>
              <w:rPr>
                <w:rFonts w:ascii="Muli" w:eastAsia="Muli" w:hAnsi="Muli" w:cs="Muli"/>
                <w:sz w:val="20"/>
                <w:szCs w:val="20"/>
              </w:rPr>
              <w:t>Materials leverage students’ prior knowledge and experiences to motivate student learning in ways that:</w:t>
            </w:r>
          </w:p>
          <w:p w14:paraId="4E82D19C" w14:textId="77777777" w:rsidR="0078448E" w:rsidRDefault="00DF4D5D">
            <w:pPr>
              <w:pStyle w:val="normal0"/>
              <w:numPr>
                <w:ilvl w:val="0"/>
                <w:numId w:val="17"/>
              </w:numPr>
              <w:tabs>
                <w:tab w:val="left" w:pos="474"/>
                <w:tab w:val="left" w:pos="475"/>
              </w:tabs>
              <w:ind w:right="1104"/>
              <w:contextualSpacing/>
              <w:rPr>
                <w:rFonts w:ascii="Muli" w:eastAsia="Muli" w:hAnsi="Muli" w:cs="Muli"/>
                <w:sz w:val="20"/>
                <w:szCs w:val="20"/>
              </w:rPr>
            </w:pPr>
            <w:proofErr w:type="gramStart"/>
            <w:r>
              <w:rPr>
                <w:rFonts w:ascii="Muli" w:eastAsia="Muli" w:hAnsi="Muli" w:cs="Muli"/>
                <w:sz w:val="20"/>
                <w:szCs w:val="20"/>
              </w:rPr>
              <w:t>make</w:t>
            </w:r>
            <w:proofErr w:type="gramEnd"/>
            <w:r>
              <w:rPr>
                <w:rFonts w:ascii="Muli" w:eastAsia="Muli" w:hAnsi="Muli" w:cs="Muli"/>
                <w:sz w:val="20"/>
                <w:szCs w:val="20"/>
              </w:rPr>
              <w:t xml:space="preserve"> visible students’ prior knowledge and experiences related to the phenomena/problems and relevant SEPs, DCIs, and CCCs;</w:t>
            </w:r>
          </w:p>
          <w:p w14:paraId="0BB03633" w14:textId="77777777" w:rsidR="0078448E" w:rsidRDefault="00DF4D5D">
            <w:pPr>
              <w:pStyle w:val="normal0"/>
              <w:numPr>
                <w:ilvl w:val="0"/>
                <w:numId w:val="17"/>
              </w:numPr>
              <w:tabs>
                <w:tab w:val="left" w:pos="460"/>
                <w:tab w:val="left" w:pos="461"/>
              </w:tabs>
              <w:ind w:right="293"/>
              <w:contextualSpacing/>
              <w:rPr>
                <w:rFonts w:ascii="Muli" w:eastAsia="Muli" w:hAnsi="Muli" w:cs="Muli"/>
                <w:sz w:val="20"/>
                <w:szCs w:val="20"/>
              </w:rPr>
            </w:pPr>
            <w:proofErr w:type="gramStart"/>
            <w:r>
              <w:rPr>
                <w:rFonts w:ascii="Muli" w:eastAsia="Muli" w:hAnsi="Muli" w:cs="Muli"/>
                <w:sz w:val="20"/>
                <w:szCs w:val="20"/>
              </w:rPr>
              <w:t>revisit</w:t>
            </w:r>
            <w:proofErr w:type="gramEnd"/>
            <w:r>
              <w:rPr>
                <w:rFonts w:ascii="Muli" w:eastAsia="Muli" w:hAnsi="Muli" w:cs="Muli"/>
                <w:sz w:val="20"/>
                <w:szCs w:val="20"/>
              </w:rPr>
              <w:t xml:space="preserve"> students’ early ideas to see how they have changed (or not) as they figure out phenomena/solve problems;</w:t>
            </w:r>
          </w:p>
          <w:p w14:paraId="021C04EB" w14:textId="77777777" w:rsidR="0078448E" w:rsidRDefault="00DF4D5D">
            <w:pPr>
              <w:pStyle w:val="normal0"/>
              <w:numPr>
                <w:ilvl w:val="0"/>
                <w:numId w:val="17"/>
              </w:numPr>
              <w:tabs>
                <w:tab w:val="left" w:pos="460"/>
                <w:tab w:val="left" w:pos="461"/>
              </w:tabs>
              <w:contextualSpacing/>
              <w:rPr>
                <w:rFonts w:ascii="Muli" w:eastAsia="Muli" w:hAnsi="Muli" w:cs="Muli"/>
                <w:sz w:val="20"/>
                <w:szCs w:val="20"/>
              </w:rPr>
            </w:pPr>
            <w:proofErr w:type="gramStart"/>
            <w:r>
              <w:rPr>
                <w:rFonts w:ascii="Muli" w:eastAsia="Muli" w:hAnsi="Muli" w:cs="Muli"/>
                <w:sz w:val="20"/>
                <w:szCs w:val="20"/>
              </w:rPr>
              <w:t>make</w:t>
            </w:r>
            <w:proofErr w:type="gramEnd"/>
            <w:r>
              <w:rPr>
                <w:rFonts w:ascii="Muli" w:eastAsia="Muli" w:hAnsi="Muli" w:cs="Muli"/>
                <w:sz w:val="20"/>
                <w:szCs w:val="20"/>
              </w:rPr>
              <w:t xml:space="preserve"> explicit links</w:t>
            </w:r>
            <w:r>
              <w:rPr>
                <w:rFonts w:ascii="Muli" w:eastAsia="Muli" w:hAnsi="Muli" w:cs="Muli"/>
                <w:sz w:val="20"/>
                <w:szCs w:val="20"/>
              </w:rPr>
              <w:t xml:space="preserve"> to new ideas and practices being developed by students.</w:t>
            </w:r>
          </w:p>
        </w:tc>
        <w:tc>
          <w:tcPr>
            <w:tcW w:w="2370" w:type="dxa"/>
          </w:tcPr>
          <w:p w14:paraId="07F55C4E" w14:textId="77777777" w:rsidR="0078448E" w:rsidRDefault="00DF4D5D">
            <w:pPr>
              <w:pStyle w:val="normal0"/>
              <w:ind w:left="180" w:right="120"/>
              <w:rPr>
                <w:rFonts w:ascii="Muli" w:eastAsia="Muli" w:hAnsi="Muli" w:cs="Muli"/>
                <w:sz w:val="20"/>
                <w:szCs w:val="20"/>
              </w:rPr>
            </w:pPr>
            <w:r>
              <w:rPr>
                <w:rFonts w:ascii="Muli" w:eastAsia="Muli" w:hAnsi="Muli" w:cs="Muli"/>
                <w:sz w:val="20"/>
                <w:szCs w:val="20"/>
              </w:rPr>
              <w:t>Materials consistently leverage student prior knowledge and experiences to motivate their learning.</w:t>
            </w:r>
          </w:p>
        </w:tc>
        <w:tc>
          <w:tcPr>
            <w:tcW w:w="2370" w:type="dxa"/>
          </w:tcPr>
          <w:p w14:paraId="6AE2C0E7" w14:textId="77777777" w:rsidR="0078448E" w:rsidRDefault="00DF4D5D">
            <w:pPr>
              <w:pStyle w:val="normal0"/>
              <w:ind w:left="180" w:right="260"/>
              <w:rPr>
                <w:rFonts w:ascii="Muli" w:eastAsia="Muli" w:hAnsi="Muli" w:cs="Muli"/>
                <w:sz w:val="20"/>
                <w:szCs w:val="20"/>
              </w:rPr>
            </w:pPr>
            <w:r>
              <w:rPr>
                <w:rFonts w:ascii="Muli" w:eastAsia="Muli" w:hAnsi="Muli" w:cs="Muli"/>
                <w:sz w:val="20"/>
                <w:szCs w:val="20"/>
              </w:rPr>
              <w:t>Materials sometimes leverage student prior knowledge and experiences to motivate their learning.</w:t>
            </w:r>
          </w:p>
        </w:tc>
        <w:tc>
          <w:tcPr>
            <w:tcW w:w="2370" w:type="dxa"/>
          </w:tcPr>
          <w:p w14:paraId="180F40F7" w14:textId="77777777" w:rsidR="0078448E" w:rsidRDefault="00DF4D5D">
            <w:pPr>
              <w:pStyle w:val="normal0"/>
              <w:ind w:left="180" w:right="164"/>
              <w:rPr>
                <w:rFonts w:ascii="Muli" w:eastAsia="Muli" w:hAnsi="Muli" w:cs="Muli"/>
                <w:sz w:val="20"/>
                <w:szCs w:val="20"/>
              </w:rPr>
            </w:pPr>
            <w:r>
              <w:rPr>
                <w:rFonts w:ascii="Muli" w:eastAsia="Muli" w:hAnsi="Muli" w:cs="Muli"/>
                <w:sz w:val="20"/>
                <w:szCs w:val="20"/>
              </w:rPr>
              <w:t>Ma</w:t>
            </w:r>
            <w:r>
              <w:rPr>
                <w:rFonts w:ascii="Muli" w:eastAsia="Muli" w:hAnsi="Muli" w:cs="Muli"/>
                <w:sz w:val="20"/>
                <w:szCs w:val="20"/>
              </w:rPr>
              <w:t>terials rarely leverage student prior knowledge and experiences, and when included, they do not relate to the phenomena or problems.</w:t>
            </w:r>
          </w:p>
        </w:tc>
      </w:tr>
      <w:tr w:rsidR="0078448E" w14:paraId="0F49FE24" w14:textId="77777777">
        <w:trPr>
          <w:trHeight w:val="1900"/>
        </w:trPr>
        <w:tc>
          <w:tcPr>
            <w:tcW w:w="7230" w:type="dxa"/>
          </w:tcPr>
          <w:p w14:paraId="47C04D4D" w14:textId="77777777" w:rsidR="0078448E" w:rsidRDefault="00DF4D5D">
            <w:pPr>
              <w:pStyle w:val="normal0"/>
              <w:spacing w:before="1" w:line="242" w:lineRule="auto"/>
              <w:ind w:left="180"/>
              <w:rPr>
                <w:rFonts w:ascii="Muli" w:eastAsia="Muli" w:hAnsi="Muli" w:cs="Muli"/>
                <w:sz w:val="20"/>
                <w:szCs w:val="20"/>
              </w:rPr>
            </w:pPr>
            <w:r>
              <w:rPr>
                <w:rFonts w:ascii="Muli" w:eastAsia="Muli" w:hAnsi="Muli" w:cs="Muli"/>
                <w:b/>
                <w:sz w:val="20"/>
                <w:szCs w:val="20"/>
              </w:rPr>
              <w:lastRenderedPageBreak/>
              <w:t>SW4. Metacognitive Abilities</w:t>
            </w:r>
            <w:r>
              <w:rPr>
                <w:rFonts w:ascii="Muli" w:eastAsia="Muli" w:hAnsi="Muli" w:cs="Muli"/>
                <w:sz w:val="20"/>
                <w:szCs w:val="20"/>
              </w:rPr>
              <w:t>. Materials include learning experiences for students to:</w:t>
            </w:r>
          </w:p>
          <w:p w14:paraId="37624D61" w14:textId="77777777" w:rsidR="0078448E" w:rsidRDefault="00DF4D5D">
            <w:pPr>
              <w:pStyle w:val="normal0"/>
              <w:numPr>
                <w:ilvl w:val="0"/>
                <w:numId w:val="7"/>
              </w:numPr>
              <w:tabs>
                <w:tab w:val="left" w:pos="474"/>
                <w:tab w:val="left" w:pos="475"/>
              </w:tabs>
              <w:spacing w:line="242" w:lineRule="auto"/>
              <w:contextualSpacing/>
              <w:rPr>
                <w:rFonts w:ascii="Muli" w:eastAsia="Muli" w:hAnsi="Muli" w:cs="Muli"/>
                <w:sz w:val="20"/>
                <w:szCs w:val="20"/>
              </w:rPr>
            </w:pPr>
            <w:proofErr w:type="gramStart"/>
            <w:r>
              <w:rPr>
                <w:rFonts w:ascii="Muli" w:eastAsia="Muli" w:hAnsi="Muli" w:cs="Muli"/>
                <w:sz w:val="20"/>
                <w:szCs w:val="20"/>
              </w:rPr>
              <w:t>set</w:t>
            </w:r>
            <w:proofErr w:type="gramEnd"/>
            <w:r>
              <w:rPr>
                <w:rFonts w:ascii="Muli" w:eastAsia="Muli" w:hAnsi="Muli" w:cs="Muli"/>
                <w:sz w:val="20"/>
                <w:szCs w:val="20"/>
              </w:rPr>
              <w:t xml:space="preserve"> and monitor their learning in light of the targeted learning goals;</w:t>
            </w:r>
          </w:p>
          <w:p w14:paraId="513F43E0" w14:textId="77777777" w:rsidR="0078448E" w:rsidRDefault="00DF4D5D">
            <w:pPr>
              <w:pStyle w:val="normal0"/>
              <w:numPr>
                <w:ilvl w:val="0"/>
                <w:numId w:val="7"/>
              </w:numPr>
              <w:tabs>
                <w:tab w:val="left" w:pos="474"/>
                <w:tab w:val="left" w:pos="475"/>
              </w:tabs>
              <w:spacing w:before="1"/>
              <w:ind w:right="1101"/>
              <w:contextualSpacing/>
              <w:rPr>
                <w:rFonts w:ascii="Muli" w:eastAsia="Muli" w:hAnsi="Muli" w:cs="Muli"/>
                <w:sz w:val="20"/>
                <w:szCs w:val="20"/>
              </w:rPr>
            </w:pPr>
            <w:proofErr w:type="gramStart"/>
            <w:r>
              <w:rPr>
                <w:rFonts w:ascii="Muli" w:eastAsia="Muli" w:hAnsi="Muli" w:cs="Muli"/>
                <w:sz w:val="20"/>
                <w:szCs w:val="20"/>
              </w:rPr>
              <w:t>consider</w:t>
            </w:r>
            <w:proofErr w:type="gramEnd"/>
            <w:r>
              <w:rPr>
                <w:rFonts w:ascii="Muli" w:eastAsia="Muli" w:hAnsi="Muli" w:cs="Muli"/>
                <w:sz w:val="20"/>
                <w:szCs w:val="20"/>
              </w:rPr>
              <w:t xml:space="preserve">, over time, </w:t>
            </w:r>
            <w:r>
              <w:rPr>
                <w:rFonts w:ascii="Muli" w:eastAsia="Muli" w:hAnsi="Muli" w:cs="Muli"/>
                <w:b/>
                <w:sz w:val="20"/>
                <w:szCs w:val="20"/>
              </w:rPr>
              <w:t xml:space="preserve">what </w:t>
            </w:r>
            <w:r>
              <w:rPr>
                <w:rFonts w:ascii="Muli" w:eastAsia="Muli" w:hAnsi="Muli" w:cs="Muli"/>
                <w:sz w:val="20"/>
                <w:szCs w:val="20"/>
              </w:rPr>
              <w:t xml:space="preserve">and </w:t>
            </w:r>
            <w:r>
              <w:rPr>
                <w:rFonts w:ascii="Muli" w:eastAsia="Muli" w:hAnsi="Muli" w:cs="Muli"/>
                <w:b/>
                <w:sz w:val="20"/>
                <w:szCs w:val="20"/>
              </w:rPr>
              <w:t xml:space="preserve">how </w:t>
            </w:r>
            <w:r>
              <w:rPr>
                <w:rFonts w:ascii="Muli" w:eastAsia="Muli" w:hAnsi="Muli" w:cs="Muli"/>
                <w:sz w:val="20"/>
                <w:szCs w:val="20"/>
              </w:rPr>
              <w:t>they have learned across the three dimensions;</w:t>
            </w:r>
          </w:p>
          <w:p w14:paraId="031BC6B7" w14:textId="77777777" w:rsidR="0078448E" w:rsidRDefault="00DF4D5D">
            <w:pPr>
              <w:pStyle w:val="normal0"/>
              <w:numPr>
                <w:ilvl w:val="0"/>
                <w:numId w:val="7"/>
              </w:numPr>
              <w:tabs>
                <w:tab w:val="left" w:pos="474"/>
                <w:tab w:val="left" w:pos="475"/>
              </w:tabs>
              <w:spacing w:before="1" w:line="242" w:lineRule="auto"/>
              <w:contextualSpacing/>
              <w:rPr>
                <w:rFonts w:ascii="Muli" w:eastAsia="Muli" w:hAnsi="Muli" w:cs="Muli"/>
                <w:sz w:val="20"/>
                <w:szCs w:val="20"/>
              </w:rPr>
            </w:pPr>
            <w:proofErr w:type="gramStart"/>
            <w:r>
              <w:rPr>
                <w:rFonts w:ascii="Muli" w:eastAsia="Muli" w:hAnsi="Muli" w:cs="Muli"/>
                <w:sz w:val="20"/>
                <w:szCs w:val="20"/>
              </w:rPr>
              <w:t>articulate</w:t>
            </w:r>
            <w:proofErr w:type="gramEnd"/>
            <w:r>
              <w:rPr>
                <w:rFonts w:ascii="Muli" w:eastAsia="Muli" w:hAnsi="Muli" w:cs="Muli"/>
                <w:sz w:val="20"/>
                <w:szCs w:val="20"/>
              </w:rPr>
              <w:t xml:space="preserve"> how the three dimensions helped them figure out phenomena/solve problems.</w:t>
            </w:r>
          </w:p>
        </w:tc>
        <w:tc>
          <w:tcPr>
            <w:tcW w:w="2370" w:type="dxa"/>
          </w:tcPr>
          <w:p w14:paraId="5BA301E4" w14:textId="77777777" w:rsidR="0078448E" w:rsidRDefault="00DF4D5D">
            <w:pPr>
              <w:pStyle w:val="normal0"/>
              <w:spacing w:before="1"/>
              <w:ind w:left="180" w:right="120"/>
              <w:rPr>
                <w:rFonts w:ascii="Muli" w:eastAsia="Muli" w:hAnsi="Muli" w:cs="Muli"/>
                <w:sz w:val="20"/>
                <w:szCs w:val="20"/>
              </w:rPr>
            </w:pPr>
            <w:r>
              <w:rPr>
                <w:rFonts w:ascii="Muli" w:eastAsia="Muli" w:hAnsi="Muli" w:cs="Muli"/>
                <w:sz w:val="20"/>
                <w:szCs w:val="20"/>
              </w:rPr>
              <w:t>The materials provide students with regular, explicit opportunities to consider how their learning experiences</w:t>
            </w:r>
          </w:p>
          <w:p w14:paraId="178C7681" w14:textId="77777777" w:rsidR="0078448E" w:rsidRDefault="00DF4D5D">
            <w:pPr>
              <w:pStyle w:val="normal0"/>
              <w:ind w:left="180" w:right="120"/>
              <w:rPr>
                <w:rFonts w:ascii="Muli" w:eastAsia="Muli" w:hAnsi="Muli" w:cs="Muli"/>
                <w:sz w:val="20"/>
                <w:szCs w:val="20"/>
              </w:rPr>
            </w:pPr>
            <w:proofErr w:type="gramStart"/>
            <w:r>
              <w:rPr>
                <w:rFonts w:ascii="Muli" w:eastAsia="Muli" w:hAnsi="Muli" w:cs="Muli"/>
                <w:sz w:val="20"/>
                <w:szCs w:val="20"/>
              </w:rPr>
              <w:t>changed</w:t>
            </w:r>
            <w:proofErr w:type="gramEnd"/>
            <w:r>
              <w:rPr>
                <w:rFonts w:ascii="Muli" w:eastAsia="Muli" w:hAnsi="Muli" w:cs="Muli"/>
                <w:sz w:val="20"/>
                <w:szCs w:val="20"/>
              </w:rPr>
              <w:t xml:space="preserve"> their thinking.</w:t>
            </w:r>
          </w:p>
        </w:tc>
        <w:tc>
          <w:tcPr>
            <w:tcW w:w="2370" w:type="dxa"/>
          </w:tcPr>
          <w:p w14:paraId="02AAE1D9" w14:textId="77777777" w:rsidR="0078448E" w:rsidRDefault="00DF4D5D">
            <w:pPr>
              <w:pStyle w:val="normal0"/>
              <w:spacing w:before="1"/>
              <w:ind w:left="180" w:right="120"/>
              <w:rPr>
                <w:rFonts w:ascii="Muli" w:eastAsia="Muli" w:hAnsi="Muli" w:cs="Muli"/>
                <w:sz w:val="20"/>
                <w:szCs w:val="20"/>
              </w:rPr>
            </w:pPr>
            <w:r>
              <w:rPr>
                <w:rFonts w:ascii="Muli" w:eastAsia="Muli" w:hAnsi="Muli" w:cs="Muli"/>
                <w:sz w:val="20"/>
                <w:szCs w:val="20"/>
              </w:rPr>
              <w:t>The materials provide students with some opportunities to consider how their learning experiences changed</w:t>
            </w:r>
          </w:p>
          <w:p w14:paraId="70A6F109" w14:textId="77777777" w:rsidR="0078448E" w:rsidRDefault="00DF4D5D">
            <w:pPr>
              <w:pStyle w:val="normal0"/>
              <w:ind w:left="180" w:right="120"/>
              <w:rPr>
                <w:rFonts w:ascii="Muli" w:eastAsia="Muli" w:hAnsi="Muli" w:cs="Muli"/>
                <w:sz w:val="20"/>
                <w:szCs w:val="20"/>
              </w:rPr>
            </w:pPr>
            <w:proofErr w:type="gramStart"/>
            <w:r>
              <w:rPr>
                <w:rFonts w:ascii="Muli" w:eastAsia="Muli" w:hAnsi="Muli" w:cs="Muli"/>
                <w:sz w:val="20"/>
                <w:szCs w:val="20"/>
              </w:rPr>
              <w:t>their</w:t>
            </w:r>
            <w:proofErr w:type="gramEnd"/>
            <w:r>
              <w:rPr>
                <w:rFonts w:ascii="Muli" w:eastAsia="Muli" w:hAnsi="Muli" w:cs="Muli"/>
                <w:sz w:val="20"/>
                <w:szCs w:val="20"/>
              </w:rPr>
              <w:t xml:space="preserve"> thinking.</w:t>
            </w:r>
          </w:p>
        </w:tc>
        <w:tc>
          <w:tcPr>
            <w:tcW w:w="2370" w:type="dxa"/>
          </w:tcPr>
          <w:p w14:paraId="4F79D0BF" w14:textId="77777777" w:rsidR="0078448E" w:rsidRDefault="00DF4D5D">
            <w:pPr>
              <w:pStyle w:val="normal0"/>
              <w:spacing w:before="1"/>
              <w:ind w:left="180" w:right="93"/>
              <w:rPr>
                <w:rFonts w:ascii="Muli" w:eastAsia="Muli" w:hAnsi="Muli" w:cs="Muli"/>
                <w:sz w:val="20"/>
                <w:szCs w:val="20"/>
              </w:rPr>
            </w:pPr>
            <w:r>
              <w:rPr>
                <w:rFonts w:ascii="Muli" w:eastAsia="Muli" w:hAnsi="Muli" w:cs="Muli"/>
                <w:sz w:val="20"/>
                <w:szCs w:val="20"/>
              </w:rPr>
              <w:t>The materials provide few opportunities for students to consider how their learning experiences changed their thinking.</w:t>
            </w:r>
          </w:p>
        </w:tc>
      </w:tr>
      <w:tr w:rsidR="0078448E" w14:paraId="28D8A7D3" w14:textId="77777777">
        <w:trPr>
          <w:trHeight w:val="2180"/>
        </w:trPr>
        <w:tc>
          <w:tcPr>
            <w:tcW w:w="7230" w:type="dxa"/>
          </w:tcPr>
          <w:p w14:paraId="24A75AE2" w14:textId="77777777" w:rsidR="0078448E" w:rsidRDefault="00DF4D5D">
            <w:pPr>
              <w:pStyle w:val="normal0"/>
              <w:spacing w:before="1"/>
              <w:ind w:left="180" w:right="254"/>
              <w:rPr>
                <w:rFonts w:ascii="Muli" w:eastAsia="Muli" w:hAnsi="Muli" w:cs="Muli"/>
                <w:sz w:val="20"/>
                <w:szCs w:val="20"/>
              </w:rPr>
            </w:pPr>
            <w:r>
              <w:rPr>
                <w:rFonts w:ascii="Muli" w:eastAsia="Muli" w:hAnsi="Muli" w:cs="Muli"/>
                <w:b/>
                <w:sz w:val="20"/>
                <w:szCs w:val="20"/>
              </w:rPr>
              <w:t xml:space="preserve">SW5. Equitable Learning Opportunities. </w:t>
            </w:r>
            <w:r>
              <w:rPr>
                <w:rFonts w:ascii="Muli" w:eastAsia="Muli" w:hAnsi="Muli" w:cs="Muli"/>
                <w:sz w:val="20"/>
                <w:szCs w:val="20"/>
              </w:rPr>
              <w:t xml:space="preserve">Materials ensure that </w:t>
            </w:r>
            <w:r>
              <w:rPr>
                <w:rFonts w:ascii="Muli" w:eastAsia="Muli" w:hAnsi="Muli" w:cs="Muli"/>
                <w:b/>
                <w:i/>
                <w:sz w:val="20"/>
                <w:szCs w:val="20"/>
              </w:rPr>
              <w:t xml:space="preserve">all </w:t>
            </w:r>
            <w:r>
              <w:rPr>
                <w:rFonts w:ascii="Muli" w:eastAsia="Muli" w:hAnsi="Muli" w:cs="Muli"/>
                <w:sz w:val="20"/>
                <w:szCs w:val="20"/>
              </w:rPr>
              <w:t>students, including those from non-dominant groups and with diverse l</w:t>
            </w:r>
            <w:r>
              <w:rPr>
                <w:rFonts w:ascii="Muli" w:eastAsia="Muli" w:hAnsi="Muli" w:cs="Muli"/>
                <w:sz w:val="20"/>
                <w:szCs w:val="20"/>
              </w:rPr>
              <w:t>earning needs, have access to the targeted learning goals and experiences, including:</w:t>
            </w:r>
          </w:p>
          <w:p w14:paraId="43566598" w14:textId="77777777" w:rsidR="0078448E" w:rsidRDefault="00DF4D5D">
            <w:pPr>
              <w:pStyle w:val="normal0"/>
              <w:numPr>
                <w:ilvl w:val="0"/>
                <w:numId w:val="13"/>
              </w:numPr>
              <w:tabs>
                <w:tab w:val="left" w:pos="474"/>
                <w:tab w:val="left" w:pos="475"/>
              </w:tabs>
              <w:ind w:right="120"/>
              <w:contextualSpacing/>
              <w:rPr>
                <w:rFonts w:ascii="Muli" w:eastAsia="Muli" w:hAnsi="Muli" w:cs="Muli"/>
                <w:sz w:val="20"/>
                <w:szCs w:val="20"/>
              </w:rPr>
            </w:pPr>
            <w:proofErr w:type="gramStart"/>
            <w:r>
              <w:rPr>
                <w:rFonts w:ascii="Muli" w:eastAsia="Muli" w:hAnsi="Muli" w:cs="Muli"/>
                <w:sz w:val="20"/>
                <w:szCs w:val="20"/>
              </w:rPr>
              <w:t>appropriate</w:t>
            </w:r>
            <w:proofErr w:type="gramEnd"/>
            <w:r>
              <w:rPr>
                <w:rFonts w:ascii="Muli" w:eastAsia="Muli" w:hAnsi="Muli" w:cs="Muli"/>
                <w:sz w:val="20"/>
                <w:szCs w:val="20"/>
              </w:rPr>
              <w:t xml:space="preserve"> reading, writing, listening, and/or speaking alternatives for students who are English language learners, have special needs, read below the grade level, or h</w:t>
            </w:r>
            <w:r>
              <w:rPr>
                <w:rFonts w:ascii="Muli" w:eastAsia="Muli" w:hAnsi="Muli" w:cs="Muli"/>
                <w:sz w:val="20"/>
                <w:szCs w:val="20"/>
              </w:rPr>
              <w:t>ave high interest and have already met the intended learning goals;</w:t>
            </w:r>
          </w:p>
          <w:p w14:paraId="64845BB9" w14:textId="77777777" w:rsidR="0078448E" w:rsidRDefault="00DF4D5D">
            <w:pPr>
              <w:pStyle w:val="normal0"/>
              <w:numPr>
                <w:ilvl w:val="0"/>
                <w:numId w:val="13"/>
              </w:numPr>
              <w:tabs>
                <w:tab w:val="left" w:pos="474"/>
                <w:tab w:val="left" w:pos="475"/>
              </w:tabs>
              <w:spacing w:before="2" w:line="242" w:lineRule="auto"/>
              <w:contextualSpacing/>
              <w:rPr>
                <w:rFonts w:ascii="Muli" w:eastAsia="Muli" w:hAnsi="Muli" w:cs="Muli"/>
                <w:sz w:val="20"/>
                <w:szCs w:val="20"/>
              </w:rPr>
            </w:pPr>
            <w:proofErr w:type="gramStart"/>
            <w:r>
              <w:rPr>
                <w:rFonts w:ascii="Muli" w:eastAsia="Muli" w:hAnsi="Muli" w:cs="Muli"/>
                <w:sz w:val="20"/>
                <w:szCs w:val="20"/>
              </w:rPr>
              <w:t>culturally</w:t>
            </w:r>
            <w:proofErr w:type="gramEnd"/>
            <w:r>
              <w:rPr>
                <w:rFonts w:ascii="Muli" w:eastAsia="Muli" w:hAnsi="Muli" w:cs="Muli"/>
                <w:sz w:val="20"/>
                <w:szCs w:val="20"/>
              </w:rPr>
              <w:t>-relevant contexts and examples that support all students;</w:t>
            </w:r>
          </w:p>
          <w:p w14:paraId="44BFAA70" w14:textId="77777777" w:rsidR="0078448E" w:rsidRDefault="00DF4D5D">
            <w:pPr>
              <w:pStyle w:val="normal0"/>
              <w:numPr>
                <w:ilvl w:val="0"/>
                <w:numId w:val="13"/>
              </w:numPr>
              <w:tabs>
                <w:tab w:val="left" w:pos="474"/>
                <w:tab w:val="left" w:pos="475"/>
              </w:tabs>
              <w:spacing w:line="242" w:lineRule="auto"/>
              <w:contextualSpacing/>
              <w:rPr>
                <w:rFonts w:ascii="Muli" w:eastAsia="Muli" w:hAnsi="Muli" w:cs="Muli"/>
                <w:sz w:val="20"/>
                <w:szCs w:val="20"/>
              </w:rPr>
            </w:pPr>
            <w:proofErr w:type="gramStart"/>
            <w:r>
              <w:rPr>
                <w:rFonts w:ascii="Muli" w:eastAsia="Muli" w:hAnsi="Muli" w:cs="Muli"/>
                <w:sz w:val="20"/>
                <w:szCs w:val="20"/>
              </w:rPr>
              <w:t>opportunities</w:t>
            </w:r>
            <w:proofErr w:type="gramEnd"/>
            <w:r>
              <w:rPr>
                <w:rFonts w:ascii="Muli" w:eastAsia="Muli" w:hAnsi="Muli" w:cs="Muli"/>
                <w:sz w:val="20"/>
                <w:szCs w:val="20"/>
              </w:rPr>
              <w:t xml:space="preserve"> to cultivate interest and confidence as scientists and engineers for all students.</w:t>
            </w:r>
          </w:p>
        </w:tc>
        <w:tc>
          <w:tcPr>
            <w:tcW w:w="2370" w:type="dxa"/>
          </w:tcPr>
          <w:p w14:paraId="07FA698D" w14:textId="77777777" w:rsidR="0078448E" w:rsidRDefault="00DF4D5D">
            <w:pPr>
              <w:pStyle w:val="normal0"/>
              <w:spacing w:before="1"/>
              <w:ind w:left="180" w:right="120"/>
              <w:rPr>
                <w:rFonts w:ascii="Muli" w:eastAsia="Muli" w:hAnsi="Muli" w:cs="Muli"/>
                <w:sz w:val="20"/>
                <w:szCs w:val="20"/>
              </w:rPr>
            </w:pPr>
            <w:r>
              <w:rPr>
                <w:rFonts w:ascii="Muli" w:eastAsia="Muli" w:hAnsi="Muli" w:cs="Muli"/>
                <w:sz w:val="20"/>
                <w:szCs w:val="20"/>
              </w:rPr>
              <w:t>Most learning experiences in materials are designed such that students can engage meaningfully in a variety of ways, with multiple access points, and with supports for students.</w:t>
            </w:r>
          </w:p>
        </w:tc>
        <w:tc>
          <w:tcPr>
            <w:tcW w:w="2370" w:type="dxa"/>
          </w:tcPr>
          <w:p w14:paraId="2CAFF80D" w14:textId="77777777" w:rsidR="0078448E" w:rsidRDefault="00DF4D5D">
            <w:pPr>
              <w:pStyle w:val="normal0"/>
              <w:spacing w:before="1"/>
              <w:ind w:left="180" w:right="120"/>
              <w:rPr>
                <w:rFonts w:ascii="Muli" w:eastAsia="Muli" w:hAnsi="Muli" w:cs="Muli"/>
                <w:sz w:val="20"/>
                <w:szCs w:val="20"/>
              </w:rPr>
            </w:pPr>
            <w:r>
              <w:rPr>
                <w:rFonts w:ascii="Muli" w:eastAsia="Muli" w:hAnsi="Muli" w:cs="Muli"/>
                <w:sz w:val="20"/>
                <w:szCs w:val="20"/>
              </w:rPr>
              <w:t>Some learning experiences in materials are designed such that students can eng</w:t>
            </w:r>
            <w:r>
              <w:rPr>
                <w:rFonts w:ascii="Muli" w:eastAsia="Muli" w:hAnsi="Muli" w:cs="Muli"/>
                <w:sz w:val="20"/>
                <w:szCs w:val="20"/>
              </w:rPr>
              <w:t>age meaningfully in a variety of ways, with multiple access points, and with supports for students.</w:t>
            </w:r>
          </w:p>
        </w:tc>
        <w:tc>
          <w:tcPr>
            <w:tcW w:w="2370" w:type="dxa"/>
          </w:tcPr>
          <w:p w14:paraId="75CBDC8B" w14:textId="77777777" w:rsidR="0078448E" w:rsidRDefault="00DF4D5D">
            <w:pPr>
              <w:pStyle w:val="normal0"/>
              <w:spacing w:before="1"/>
              <w:ind w:left="180" w:right="170"/>
              <w:rPr>
                <w:rFonts w:ascii="Muli" w:eastAsia="Muli" w:hAnsi="Muli" w:cs="Muli"/>
                <w:sz w:val="20"/>
                <w:szCs w:val="20"/>
              </w:rPr>
            </w:pPr>
            <w:r>
              <w:rPr>
                <w:rFonts w:ascii="Muli" w:eastAsia="Muli" w:hAnsi="Muli" w:cs="Muli"/>
                <w:sz w:val="20"/>
                <w:szCs w:val="20"/>
              </w:rPr>
              <w:t>Few learning experiences in materials are designed such that students can engage meaningfully in a variety of ways, with multiple access points, and with su</w:t>
            </w:r>
            <w:r>
              <w:rPr>
                <w:rFonts w:ascii="Muli" w:eastAsia="Muli" w:hAnsi="Muli" w:cs="Muli"/>
                <w:sz w:val="20"/>
                <w:szCs w:val="20"/>
              </w:rPr>
              <w:t>pports for students.</w:t>
            </w:r>
          </w:p>
        </w:tc>
      </w:tr>
    </w:tbl>
    <w:p w14:paraId="1AAB0FB7" w14:textId="77777777" w:rsidR="0078448E" w:rsidRDefault="0078448E">
      <w:pPr>
        <w:pStyle w:val="normal0"/>
        <w:ind w:left="180"/>
        <w:rPr>
          <w:rFonts w:ascii="Muli" w:eastAsia="Muli" w:hAnsi="Muli" w:cs="Muli"/>
          <w:sz w:val="20"/>
          <w:szCs w:val="20"/>
        </w:rPr>
      </w:pPr>
    </w:p>
    <w:p w14:paraId="2F868C97" w14:textId="77777777" w:rsidR="00AB15DC" w:rsidRDefault="00AB15DC">
      <w:pPr>
        <w:pStyle w:val="normal0"/>
        <w:spacing w:before="147"/>
        <w:ind w:left="180"/>
        <w:rPr>
          <w:rFonts w:ascii="Muli" w:eastAsia="Muli" w:hAnsi="Muli" w:cs="Muli"/>
          <w:b/>
          <w:color w:val="FF126D"/>
          <w:sz w:val="28"/>
          <w:szCs w:val="28"/>
        </w:rPr>
      </w:pPr>
    </w:p>
    <w:p w14:paraId="57CC3DAB" w14:textId="77777777" w:rsidR="00AB15DC" w:rsidRDefault="00AB15DC">
      <w:pPr>
        <w:pStyle w:val="normal0"/>
        <w:spacing w:before="147"/>
        <w:ind w:left="180"/>
        <w:rPr>
          <w:rFonts w:ascii="Muli" w:eastAsia="Muli" w:hAnsi="Muli" w:cs="Muli"/>
          <w:b/>
          <w:color w:val="FF126D"/>
          <w:sz w:val="28"/>
          <w:szCs w:val="28"/>
        </w:rPr>
      </w:pPr>
    </w:p>
    <w:p w14:paraId="5166A788" w14:textId="77777777" w:rsidR="00AB15DC" w:rsidRDefault="00AB15DC">
      <w:pPr>
        <w:pStyle w:val="normal0"/>
        <w:spacing w:before="147"/>
        <w:ind w:left="180"/>
        <w:rPr>
          <w:rFonts w:ascii="Muli" w:eastAsia="Muli" w:hAnsi="Muli" w:cs="Muli"/>
          <w:b/>
          <w:color w:val="FF126D"/>
          <w:sz w:val="28"/>
          <w:szCs w:val="28"/>
        </w:rPr>
      </w:pPr>
    </w:p>
    <w:p w14:paraId="6A35E126" w14:textId="77777777" w:rsidR="00AB15DC" w:rsidRDefault="00AB15DC">
      <w:pPr>
        <w:pStyle w:val="normal0"/>
        <w:spacing w:before="147"/>
        <w:ind w:left="180"/>
        <w:rPr>
          <w:rFonts w:ascii="Muli" w:eastAsia="Muli" w:hAnsi="Muli" w:cs="Muli"/>
          <w:b/>
          <w:color w:val="FF126D"/>
          <w:sz w:val="28"/>
          <w:szCs w:val="28"/>
        </w:rPr>
      </w:pPr>
    </w:p>
    <w:p w14:paraId="300B595B" w14:textId="77777777" w:rsidR="00AB15DC" w:rsidRDefault="00AB15DC">
      <w:pPr>
        <w:pStyle w:val="normal0"/>
        <w:spacing w:before="147"/>
        <w:ind w:left="180"/>
        <w:rPr>
          <w:rFonts w:ascii="Muli" w:eastAsia="Muli" w:hAnsi="Muli" w:cs="Muli"/>
          <w:b/>
          <w:color w:val="FF126D"/>
          <w:sz w:val="28"/>
          <w:szCs w:val="28"/>
        </w:rPr>
      </w:pPr>
    </w:p>
    <w:p w14:paraId="3E6FB6C6" w14:textId="77777777" w:rsidR="00AB15DC" w:rsidRDefault="00AB15DC">
      <w:pPr>
        <w:pStyle w:val="normal0"/>
        <w:spacing w:before="147"/>
        <w:ind w:left="180"/>
        <w:rPr>
          <w:rFonts w:ascii="Muli" w:eastAsia="Muli" w:hAnsi="Muli" w:cs="Muli"/>
          <w:b/>
          <w:color w:val="FF126D"/>
          <w:sz w:val="28"/>
          <w:szCs w:val="28"/>
        </w:rPr>
      </w:pPr>
    </w:p>
    <w:p w14:paraId="5EC3A50A" w14:textId="77777777" w:rsidR="00AB15DC" w:rsidRDefault="00AB15DC">
      <w:pPr>
        <w:pStyle w:val="normal0"/>
        <w:spacing w:before="147"/>
        <w:ind w:left="180"/>
        <w:rPr>
          <w:rFonts w:ascii="Muli" w:eastAsia="Muli" w:hAnsi="Muli" w:cs="Muli"/>
          <w:b/>
          <w:color w:val="FF126D"/>
          <w:sz w:val="28"/>
          <w:szCs w:val="28"/>
        </w:rPr>
      </w:pPr>
    </w:p>
    <w:p w14:paraId="129F6C0B" w14:textId="77777777" w:rsidR="0078448E" w:rsidRDefault="00DF4D5D">
      <w:pPr>
        <w:pStyle w:val="normal0"/>
        <w:spacing w:before="147"/>
        <w:ind w:left="180"/>
        <w:rPr>
          <w:rFonts w:ascii="Muli" w:eastAsia="Muli" w:hAnsi="Muli" w:cs="Muli"/>
          <w:b/>
          <w:color w:val="FF126D"/>
          <w:sz w:val="28"/>
          <w:szCs w:val="28"/>
        </w:rPr>
      </w:pPr>
      <w:r>
        <w:rPr>
          <w:rFonts w:ascii="Muli" w:eastAsia="Muli" w:hAnsi="Muli" w:cs="Muli"/>
          <w:b/>
          <w:color w:val="FF126D"/>
          <w:sz w:val="28"/>
          <w:szCs w:val="28"/>
        </w:rPr>
        <w:lastRenderedPageBreak/>
        <w:t>Designed for NGSS: Student Work</w:t>
      </w:r>
    </w:p>
    <w:p w14:paraId="09009BB2" w14:textId="77777777" w:rsidR="0078448E" w:rsidRDefault="00DF4D5D">
      <w:pPr>
        <w:pStyle w:val="normal0"/>
        <w:spacing w:before="147"/>
        <w:ind w:left="180"/>
        <w:rPr>
          <w:rFonts w:ascii="Muli" w:eastAsia="Muli" w:hAnsi="Muli" w:cs="Muli"/>
          <w:b/>
          <w:sz w:val="20"/>
          <w:szCs w:val="20"/>
        </w:rPr>
      </w:pPr>
      <w:r>
        <w:rPr>
          <w:rFonts w:ascii="Muli" w:eastAsia="Muli" w:hAnsi="Muli" w:cs="Muli"/>
          <w:b/>
          <w:sz w:val="20"/>
          <w:szCs w:val="20"/>
        </w:rPr>
        <w:t>Analyze Evidence</w:t>
      </w:r>
    </w:p>
    <w:p w14:paraId="7761A9E4" w14:textId="77777777" w:rsidR="0078448E" w:rsidRDefault="00DF4D5D">
      <w:pPr>
        <w:pStyle w:val="normal0"/>
        <w:spacing w:before="147"/>
        <w:ind w:left="180"/>
        <w:rPr>
          <w:rFonts w:ascii="Muli" w:eastAsia="Muli" w:hAnsi="Muli" w:cs="Muli"/>
          <w:b/>
          <w:color w:val="15A798"/>
          <w:sz w:val="28"/>
          <w:szCs w:val="28"/>
        </w:rPr>
      </w:pPr>
      <w:r>
        <w:rPr>
          <w:rFonts w:ascii="Muli" w:eastAsia="Muli" w:hAnsi="Muli" w:cs="Muli"/>
          <w:b/>
          <w:sz w:val="20"/>
          <w:szCs w:val="20"/>
        </w:rPr>
        <w:t>Directions:</w:t>
      </w:r>
    </w:p>
    <w:p w14:paraId="78BF92CD" w14:textId="77777777" w:rsidR="0078448E" w:rsidRDefault="00DF4D5D">
      <w:pPr>
        <w:pStyle w:val="normal0"/>
        <w:numPr>
          <w:ilvl w:val="0"/>
          <w:numId w:val="12"/>
        </w:numPr>
        <w:tabs>
          <w:tab w:val="left" w:pos="1127"/>
          <w:tab w:val="left" w:pos="1128"/>
        </w:tabs>
        <w:ind w:left="180" w:firstLine="0"/>
        <w:contextualSpacing/>
        <w:rPr>
          <w:rFonts w:ascii="Muli" w:eastAsia="Muli" w:hAnsi="Muli" w:cs="Muli"/>
        </w:rPr>
      </w:pPr>
      <w:r>
        <w:rPr>
          <w:rFonts w:ascii="Muli" w:eastAsia="Muli" w:hAnsi="Muli" w:cs="Muli"/>
        </w:rPr>
        <w:t>Review your assigned materials to describe the path of student thinking.</w:t>
      </w:r>
    </w:p>
    <w:p w14:paraId="686FAFCA" w14:textId="77777777" w:rsidR="0078448E" w:rsidRDefault="00DF4D5D">
      <w:pPr>
        <w:pStyle w:val="normal0"/>
        <w:numPr>
          <w:ilvl w:val="0"/>
          <w:numId w:val="12"/>
        </w:numPr>
        <w:tabs>
          <w:tab w:val="left" w:pos="1127"/>
          <w:tab w:val="left" w:pos="1128"/>
        </w:tabs>
        <w:ind w:left="180" w:firstLine="0"/>
        <w:contextualSpacing/>
        <w:rPr>
          <w:rFonts w:ascii="Muli" w:eastAsia="Muli" w:hAnsi="Muli" w:cs="Muli"/>
        </w:rPr>
      </w:pPr>
      <w:r>
        <w:rPr>
          <w:rFonts w:ascii="Muli" w:eastAsia="Muli" w:hAnsi="Muli" w:cs="Muli"/>
        </w:rPr>
        <w:t>Represent your answers to the questions in the space provided.</w:t>
      </w:r>
    </w:p>
    <w:p w14:paraId="1FB7D930" w14:textId="77777777" w:rsidR="0078448E" w:rsidRDefault="00DF4D5D">
      <w:pPr>
        <w:pStyle w:val="normal0"/>
        <w:numPr>
          <w:ilvl w:val="0"/>
          <w:numId w:val="12"/>
        </w:numPr>
        <w:tabs>
          <w:tab w:val="left" w:pos="1127"/>
          <w:tab w:val="left" w:pos="1128"/>
        </w:tabs>
        <w:ind w:left="180" w:firstLine="0"/>
        <w:contextualSpacing/>
        <w:rPr>
          <w:rFonts w:ascii="Muli" w:eastAsia="Muli" w:hAnsi="Muli" w:cs="Muli"/>
        </w:rPr>
      </w:pPr>
      <w:r>
        <w:rPr>
          <w:rFonts w:ascii="Muli" w:eastAsia="Muli" w:hAnsi="Muli" w:cs="Muli"/>
        </w:rPr>
        <w:t>Be prepared to share the path of student thinking visually on a public chart.</w:t>
      </w:r>
    </w:p>
    <w:p w14:paraId="6B13C321" w14:textId="77777777" w:rsidR="0078448E" w:rsidRDefault="0078448E">
      <w:pPr>
        <w:pStyle w:val="normal0"/>
        <w:spacing w:before="11"/>
        <w:ind w:left="180"/>
        <w:rPr>
          <w:rFonts w:ascii="Muli" w:eastAsia="Muli" w:hAnsi="Muli" w:cs="Muli"/>
          <w:sz w:val="20"/>
          <w:szCs w:val="20"/>
        </w:rPr>
      </w:pPr>
    </w:p>
    <w:tbl>
      <w:tblPr>
        <w:tblStyle w:val="a1"/>
        <w:tblW w:w="1410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90"/>
        <w:gridCol w:w="4410"/>
      </w:tblGrid>
      <w:tr w:rsidR="0078448E" w14:paraId="3BFE283A" w14:textId="77777777">
        <w:trPr>
          <w:trHeight w:val="420"/>
        </w:trPr>
        <w:tc>
          <w:tcPr>
            <w:tcW w:w="14100" w:type="dxa"/>
            <w:gridSpan w:val="2"/>
            <w:shd w:val="clear" w:color="auto" w:fill="FF126D"/>
          </w:tcPr>
          <w:p w14:paraId="7031A7C5" w14:textId="77777777" w:rsidR="0078448E" w:rsidRDefault="00DF4D5D">
            <w:pPr>
              <w:pStyle w:val="normal0"/>
              <w:ind w:left="180" w:right="85"/>
              <w:rPr>
                <w:rFonts w:ascii="Muli" w:eastAsia="Muli" w:hAnsi="Muli" w:cs="Muli"/>
                <w:b/>
                <w:color w:val="FFFFFF"/>
                <w:sz w:val="20"/>
                <w:szCs w:val="20"/>
              </w:rPr>
            </w:pPr>
            <w:r>
              <w:rPr>
                <w:rFonts w:ascii="Muli" w:eastAsia="Muli" w:hAnsi="Muli" w:cs="Muli"/>
                <w:b/>
                <w:color w:val="FFFFFF"/>
                <w:sz w:val="20"/>
                <w:szCs w:val="20"/>
              </w:rPr>
              <w:t>Strengths</w:t>
            </w:r>
          </w:p>
        </w:tc>
      </w:tr>
      <w:tr w:rsidR="0078448E" w14:paraId="3B0D00E3" w14:textId="77777777">
        <w:trPr>
          <w:trHeight w:val="420"/>
        </w:trPr>
        <w:tc>
          <w:tcPr>
            <w:tcW w:w="14100" w:type="dxa"/>
            <w:gridSpan w:val="2"/>
            <w:shd w:val="clear" w:color="auto" w:fill="CCCCCC"/>
          </w:tcPr>
          <w:p w14:paraId="205A160F" w14:textId="77777777" w:rsidR="0078448E" w:rsidRDefault="00DF4D5D">
            <w:pPr>
              <w:pStyle w:val="normal0"/>
              <w:spacing w:before="130"/>
              <w:ind w:left="180" w:right="2262"/>
              <w:rPr>
                <w:rFonts w:ascii="Muli" w:eastAsia="Muli" w:hAnsi="Muli" w:cs="Muli"/>
                <w:b/>
                <w:sz w:val="20"/>
                <w:szCs w:val="20"/>
              </w:rPr>
            </w:pPr>
            <w:r>
              <w:rPr>
                <w:rFonts w:ascii="Muli" w:eastAsia="Muli" w:hAnsi="Muli" w:cs="Muli"/>
                <w:b/>
                <w:sz w:val="20"/>
                <w:szCs w:val="20"/>
              </w:rPr>
              <w:t>SW 1: Phenomena/ Problems</w:t>
            </w:r>
          </w:p>
        </w:tc>
      </w:tr>
      <w:tr w:rsidR="0078448E" w14:paraId="077CD392" w14:textId="77777777">
        <w:trPr>
          <w:trHeight w:val="620"/>
        </w:trPr>
        <w:tc>
          <w:tcPr>
            <w:tcW w:w="14100" w:type="dxa"/>
            <w:gridSpan w:val="2"/>
            <w:shd w:val="clear" w:color="auto" w:fill="EFEFEF"/>
          </w:tcPr>
          <w:p w14:paraId="7CE7CA38" w14:textId="77777777" w:rsidR="0078448E" w:rsidRDefault="00DF4D5D">
            <w:pPr>
              <w:pStyle w:val="normal0"/>
              <w:ind w:left="180"/>
              <w:rPr>
                <w:rFonts w:ascii="Muli" w:eastAsia="Muli" w:hAnsi="Muli" w:cs="Muli"/>
                <w:b/>
                <w:color w:val="2F5496"/>
                <w:sz w:val="20"/>
                <w:szCs w:val="20"/>
              </w:rPr>
            </w:pPr>
            <w:r>
              <w:rPr>
                <w:rFonts w:ascii="Muli" w:eastAsia="Muli" w:hAnsi="Muli" w:cs="Muli"/>
                <w:b/>
                <w:color w:val="2F5496"/>
                <w:sz w:val="20"/>
                <w:szCs w:val="20"/>
              </w:rPr>
              <w:t>The Student Work is High Quality (5) in terms of SW1</w:t>
            </w:r>
          </w:p>
          <w:p w14:paraId="6345CAAA" w14:textId="77777777" w:rsidR="0078448E" w:rsidRDefault="00DF4D5D">
            <w:pPr>
              <w:pStyle w:val="normal0"/>
              <w:spacing w:before="1"/>
              <w:ind w:left="180" w:right="103"/>
              <w:rPr>
                <w:rFonts w:ascii="Muli" w:eastAsia="Muli" w:hAnsi="Muli" w:cs="Muli"/>
                <w:b/>
                <w:sz w:val="20"/>
                <w:szCs w:val="20"/>
              </w:rPr>
            </w:pPr>
            <w:r>
              <w:rPr>
                <w:rFonts w:ascii="Muli" w:eastAsia="Muli" w:hAnsi="Muli" w:cs="Muli"/>
                <w:sz w:val="20"/>
                <w:szCs w:val="20"/>
              </w:rPr>
              <w:t>Materials consistently offer quality phenomena/ problems sufficient to motivate and drive student learning.</w:t>
            </w:r>
          </w:p>
        </w:tc>
      </w:tr>
      <w:tr w:rsidR="0078448E" w14:paraId="4F7651F8" w14:textId="77777777">
        <w:trPr>
          <w:trHeight w:val="4560"/>
        </w:trPr>
        <w:tc>
          <w:tcPr>
            <w:tcW w:w="9690" w:type="dxa"/>
          </w:tcPr>
          <w:p w14:paraId="5ACD4C86" w14:textId="77777777" w:rsidR="0078448E" w:rsidRDefault="0078448E">
            <w:pPr>
              <w:pStyle w:val="normal0"/>
              <w:spacing w:before="1"/>
              <w:ind w:left="180" w:right="103"/>
              <w:rPr>
                <w:rFonts w:ascii="Muli" w:eastAsia="Muli" w:hAnsi="Muli" w:cs="Muli"/>
                <w:b/>
                <w:color w:val="FF126D"/>
                <w:sz w:val="20"/>
                <w:szCs w:val="20"/>
              </w:rPr>
            </w:pPr>
          </w:p>
          <w:p w14:paraId="10FD8B45" w14:textId="77777777" w:rsidR="0078448E" w:rsidRDefault="00DF4D5D">
            <w:pPr>
              <w:pStyle w:val="normal0"/>
              <w:spacing w:before="1"/>
              <w:ind w:left="180" w:right="103"/>
              <w:rPr>
                <w:rFonts w:ascii="Muli" w:eastAsia="Muli" w:hAnsi="Muli" w:cs="Muli"/>
                <w:color w:val="FF126D"/>
                <w:sz w:val="20"/>
                <w:szCs w:val="20"/>
              </w:rPr>
            </w:pPr>
            <w:r>
              <w:rPr>
                <w:rFonts w:ascii="Muli" w:eastAsia="Muli" w:hAnsi="Muli" w:cs="Muli"/>
                <w:b/>
                <w:color w:val="FF126D"/>
                <w:sz w:val="20"/>
                <w:szCs w:val="20"/>
              </w:rPr>
              <w:t>Evidence</w:t>
            </w:r>
          </w:p>
          <w:p w14:paraId="69D4A0B1" w14:textId="77777777" w:rsidR="0078448E" w:rsidRDefault="00DF4D5D">
            <w:pPr>
              <w:pStyle w:val="normal0"/>
              <w:numPr>
                <w:ilvl w:val="0"/>
                <w:numId w:val="2"/>
              </w:numPr>
              <w:contextualSpacing/>
              <w:rPr>
                <w:rFonts w:ascii="Muli" w:eastAsia="Muli" w:hAnsi="Muli" w:cs="Muli"/>
                <w:sz w:val="20"/>
                <w:szCs w:val="20"/>
              </w:rPr>
            </w:pPr>
            <w:r>
              <w:rPr>
                <w:rFonts w:ascii="Muli" w:eastAsia="Muli" w:hAnsi="Muli" w:cs="Muli"/>
                <w:sz w:val="20"/>
                <w:szCs w:val="20"/>
              </w:rPr>
              <w:t>Students investigate the phenomenon of what plants need to grow by observing a series of visuals and then planning and carrying out a hands-on investigation (</w:t>
            </w:r>
            <w:r>
              <w:rPr>
                <w:rFonts w:ascii="Muli" w:eastAsia="Muli" w:hAnsi="Muli" w:cs="Muli"/>
                <w:b/>
                <w:color w:val="FF126D"/>
                <w:sz w:val="20"/>
                <w:szCs w:val="20"/>
              </w:rPr>
              <w:t>DQ1 TB p. 5</w:t>
            </w:r>
            <w:r>
              <w:rPr>
                <w:rFonts w:ascii="Muli" w:eastAsia="Muli" w:hAnsi="Muli" w:cs="Muli"/>
                <w:b/>
                <w:sz w:val="20"/>
                <w:szCs w:val="20"/>
              </w:rPr>
              <w:t>)</w:t>
            </w:r>
            <w:r>
              <w:rPr>
                <w:rFonts w:ascii="Muli" w:eastAsia="Muli" w:hAnsi="Muli" w:cs="Muli"/>
                <w:sz w:val="20"/>
                <w:szCs w:val="20"/>
              </w:rPr>
              <w:t>. They close read an informational text that treats this phenomenon, which they summar</w:t>
            </w:r>
            <w:r>
              <w:rPr>
                <w:rFonts w:ascii="Muli" w:eastAsia="Muli" w:hAnsi="Muli" w:cs="Muli"/>
                <w:sz w:val="20"/>
                <w:szCs w:val="20"/>
              </w:rPr>
              <w:t xml:space="preserve">ize (DQ1 TB pp. 10–16). </w:t>
            </w:r>
          </w:p>
        </w:tc>
        <w:tc>
          <w:tcPr>
            <w:tcW w:w="4410" w:type="dxa"/>
          </w:tcPr>
          <w:p w14:paraId="1D25A335"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072DCF9" wp14:editId="2193EC1D">
                  <wp:extent cx="2500313" cy="2662449"/>
                  <wp:effectExtent l="0" t="0" r="0" b="0"/>
                  <wp:docPr id="1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2500313" cy="2662449"/>
                          </a:xfrm>
                          <a:prstGeom prst="rect">
                            <a:avLst/>
                          </a:prstGeom>
                          <a:ln/>
                        </pic:spPr>
                      </pic:pic>
                    </a:graphicData>
                  </a:graphic>
                </wp:inline>
              </w:drawing>
            </w:r>
          </w:p>
          <w:p w14:paraId="47F2FA3A"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DQ1 TB p. 5</w:t>
            </w:r>
          </w:p>
        </w:tc>
      </w:tr>
      <w:tr w:rsidR="0078448E" w14:paraId="413D140C" w14:textId="77777777">
        <w:trPr>
          <w:trHeight w:val="4940"/>
        </w:trPr>
        <w:tc>
          <w:tcPr>
            <w:tcW w:w="9690" w:type="dxa"/>
          </w:tcPr>
          <w:p w14:paraId="09337B34" w14:textId="77777777" w:rsidR="0078448E" w:rsidRDefault="00DF4D5D">
            <w:pPr>
              <w:pStyle w:val="normal0"/>
              <w:numPr>
                <w:ilvl w:val="0"/>
                <w:numId w:val="2"/>
              </w:numPr>
              <w:contextualSpacing/>
              <w:rPr>
                <w:rFonts w:ascii="Muli" w:eastAsia="Muli" w:hAnsi="Muli" w:cs="Muli"/>
                <w:sz w:val="20"/>
                <w:szCs w:val="20"/>
              </w:rPr>
            </w:pPr>
            <w:r>
              <w:rPr>
                <w:rFonts w:ascii="Muli" w:eastAsia="Muli" w:hAnsi="Muli" w:cs="Muli"/>
                <w:sz w:val="20"/>
                <w:szCs w:val="20"/>
              </w:rPr>
              <w:lastRenderedPageBreak/>
              <w:t>Students explore the phenomenon of interdependent relationships in ecosystems by carrying out a video investigation (DQ2L1 TB p. 19), close reading an informational text (</w:t>
            </w:r>
            <w:r>
              <w:rPr>
                <w:rFonts w:ascii="Muli" w:eastAsia="Muli" w:hAnsi="Muli" w:cs="Muli"/>
                <w:b/>
                <w:color w:val="FF126D"/>
                <w:sz w:val="20"/>
                <w:szCs w:val="20"/>
              </w:rPr>
              <w:t>DQ2L2 TB pp. 22–26</w:t>
            </w:r>
            <w:r>
              <w:rPr>
                <w:rFonts w:ascii="Muli" w:eastAsia="Muli" w:hAnsi="Muli" w:cs="Muli"/>
                <w:sz w:val="20"/>
                <w:szCs w:val="20"/>
              </w:rPr>
              <w:t>), and conducting collaborative research (DQ2L3 TB pp. 29–30). They then focus on the phenomenon of cycles of matter and energy transfer in ecosystems, modeling food chains (DQ2L4 TB p. 31) and food webs (DQ2L5 TB p. 34) before constructing scientific expl</w:t>
            </w:r>
            <w:r>
              <w:rPr>
                <w:rFonts w:ascii="Muli" w:eastAsia="Muli" w:hAnsi="Muli" w:cs="Muli"/>
                <w:sz w:val="20"/>
                <w:szCs w:val="20"/>
              </w:rPr>
              <w:t xml:space="preserve">anations using evidence and reasoning that answer the Driving Question (DQ2L6 TB pp. 35–36). </w:t>
            </w:r>
          </w:p>
        </w:tc>
        <w:tc>
          <w:tcPr>
            <w:tcW w:w="4410" w:type="dxa"/>
          </w:tcPr>
          <w:p w14:paraId="170A20C8"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42D5DC18" wp14:editId="21694A1B">
                  <wp:extent cx="2509838" cy="2869609"/>
                  <wp:effectExtent l="0" t="0" r="0" b="0"/>
                  <wp:docPr id="1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1"/>
                          <a:srcRect/>
                          <a:stretch>
                            <a:fillRect/>
                          </a:stretch>
                        </pic:blipFill>
                        <pic:spPr>
                          <a:xfrm>
                            <a:off x="0" y="0"/>
                            <a:ext cx="2509838" cy="2869609"/>
                          </a:xfrm>
                          <a:prstGeom prst="rect">
                            <a:avLst/>
                          </a:prstGeom>
                          <a:ln/>
                        </pic:spPr>
                      </pic:pic>
                    </a:graphicData>
                  </a:graphic>
                </wp:inline>
              </w:drawing>
            </w:r>
          </w:p>
          <w:p w14:paraId="7A98568B" w14:textId="77777777" w:rsidR="0078448E" w:rsidRDefault="00DF4D5D">
            <w:pPr>
              <w:pStyle w:val="normal0"/>
              <w:ind w:left="180" w:hanging="90"/>
              <w:rPr>
                <w:rFonts w:ascii="Muli" w:eastAsia="Muli" w:hAnsi="Muli" w:cs="Muli"/>
                <w:sz w:val="20"/>
                <w:szCs w:val="20"/>
              </w:rPr>
            </w:pPr>
            <w:r>
              <w:rPr>
                <w:rFonts w:ascii="Muli" w:eastAsia="Muli" w:hAnsi="Muli" w:cs="Muli"/>
                <w:b/>
                <w:color w:val="FF126D"/>
                <w:sz w:val="20"/>
                <w:szCs w:val="20"/>
              </w:rPr>
              <w:t>DQ2L2 TB pp. 22–26</w:t>
            </w:r>
          </w:p>
        </w:tc>
      </w:tr>
      <w:tr w:rsidR="0078448E" w14:paraId="68320CAD" w14:textId="77777777">
        <w:trPr>
          <w:trHeight w:val="5140"/>
        </w:trPr>
        <w:tc>
          <w:tcPr>
            <w:tcW w:w="9690" w:type="dxa"/>
          </w:tcPr>
          <w:p w14:paraId="5F36EC72" w14:textId="77777777" w:rsidR="0078448E" w:rsidRDefault="00DF4D5D">
            <w:pPr>
              <w:pStyle w:val="normal0"/>
              <w:numPr>
                <w:ilvl w:val="0"/>
                <w:numId w:val="2"/>
              </w:numPr>
              <w:contextualSpacing/>
              <w:rPr>
                <w:rFonts w:ascii="Muli" w:eastAsia="Muli" w:hAnsi="Muli" w:cs="Muli"/>
                <w:sz w:val="20"/>
                <w:szCs w:val="20"/>
              </w:rPr>
            </w:pPr>
            <w:r>
              <w:rPr>
                <w:rFonts w:ascii="Muli" w:eastAsia="Muli" w:hAnsi="Muli" w:cs="Muli"/>
                <w:sz w:val="20"/>
                <w:szCs w:val="20"/>
              </w:rPr>
              <w:t>Students explore the phenomenon of energy in chemical processes and everyday life by going on an energy hunt around the school before reflec</w:t>
            </w:r>
            <w:r>
              <w:rPr>
                <w:rFonts w:ascii="Muli" w:eastAsia="Muli" w:hAnsi="Muli" w:cs="Muli"/>
                <w:sz w:val="20"/>
                <w:szCs w:val="20"/>
              </w:rPr>
              <w:t>ting on the Driving Question (</w:t>
            </w:r>
            <w:r>
              <w:rPr>
                <w:rFonts w:ascii="Muli" w:eastAsia="Muli" w:hAnsi="Muli" w:cs="Muli"/>
                <w:b/>
                <w:color w:val="FF126D"/>
                <w:sz w:val="20"/>
                <w:szCs w:val="20"/>
              </w:rPr>
              <w:t>DQ4L1 TB pp. 69–70</w:t>
            </w:r>
            <w:r>
              <w:rPr>
                <w:rFonts w:ascii="Muli" w:eastAsia="Muli" w:hAnsi="Muli" w:cs="Muli"/>
                <w:sz w:val="20"/>
                <w:szCs w:val="20"/>
              </w:rPr>
              <w:t>).</w:t>
            </w:r>
          </w:p>
        </w:tc>
        <w:tc>
          <w:tcPr>
            <w:tcW w:w="4410" w:type="dxa"/>
          </w:tcPr>
          <w:p w14:paraId="5919B451"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5F4CA8ED" wp14:editId="1AF97201">
                  <wp:extent cx="2624138" cy="2873580"/>
                  <wp:effectExtent l="0" t="0" r="0" b="0"/>
                  <wp:docPr id="1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2624138" cy="2873580"/>
                          </a:xfrm>
                          <a:prstGeom prst="rect">
                            <a:avLst/>
                          </a:prstGeom>
                          <a:ln/>
                        </pic:spPr>
                      </pic:pic>
                    </a:graphicData>
                  </a:graphic>
                </wp:inline>
              </w:drawing>
            </w:r>
          </w:p>
          <w:p w14:paraId="4A277EA3" w14:textId="77777777" w:rsidR="0078448E" w:rsidRDefault="00DF4D5D">
            <w:pPr>
              <w:pStyle w:val="normal0"/>
              <w:ind w:firstLine="90"/>
              <w:rPr>
                <w:rFonts w:ascii="Muli" w:eastAsia="Muli" w:hAnsi="Muli" w:cs="Muli"/>
                <w:sz w:val="20"/>
                <w:szCs w:val="20"/>
              </w:rPr>
            </w:pPr>
            <w:r>
              <w:rPr>
                <w:rFonts w:ascii="Muli" w:eastAsia="Muli" w:hAnsi="Muli" w:cs="Muli"/>
                <w:b/>
                <w:color w:val="FF126D"/>
                <w:sz w:val="20"/>
                <w:szCs w:val="20"/>
              </w:rPr>
              <w:t>DQ4L1 TB pp. 69–70</w:t>
            </w:r>
          </w:p>
        </w:tc>
      </w:tr>
      <w:tr w:rsidR="0078448E" w14:paraId="18CFE44F" w14:textId="77777777" w:rsidTr="00AB15DC">
        <w:trPr>
          <w:trHeight w:val="10337"/>
        </w:trPr>
        <w:tc>
          <w:tcPr>
            <w:tcW w:w="9690" w:type="dxa"/>
          </w:tcPr>
          <w:p w14:paraId="631D4467" w14:textId="77777777" w:rsidR="0078448E" w:rsidRDefault="00DF4D5D">
            <w:pPr>
              <w:pStyle w:val="normal0"/>
              <w:numPr>
                <w:ilvl w:val="0"/>
                <w:numId w:val="2"/>
              </w:numPr>
              <w:contextualSpacing/>
              <w:rPr>
                <w:rFonts w:ascii="Muli" w:eastAsia="Muli" w:hAnsi="Muli" w:cs="Muli"/>
                <w:sz w:val="20"/>
                <w:szCs w:val="20"/>
              </w:rPr>
            </w:pPr>
            <w:r>
              <w:rPr>
                <w:rFonts w:ascii="Muli" w:eastAsia="Muli" w:hAnsi="Muli" w:cs="Muli"/>
                <w:sz w:val="20"/>
                <w:szCs w:val="20"/>
              </w:rPr>
              <w:lastRenderedPageBreak/>
              <w:t>Students explore the phenomenon of matter and energy flow in ecosystems using an interactive, discovering that energy flows from the Sun to producers, herbivores, and carnivores (</w:t>
            </w:r>
            <w:r>
              <w:rPr>
                <w:rFonts w:ascii="Muli" w:eastAsia="Muli" w:hAnsi="Muli" w:cs="Muli"/>
                <w:b/>
                <w:color w:val="FF126D"/>
                <w:sz w:val="20"/>
                <w:szCs w:val="20"/>
              </w:rPr>
              <w:t>DQ4L3 TB p. 81</w:t>
            </w:r>
            <w:r>
              <w:rPr>
                <w:rFonts w:ascii="Muli" w:eastAsia="Muli" w:hAnsi="Muli" w:cs="Muli"/>
                <w:sz w:val="20"/>
                <w:szCs w:val="20"/>
              </w:rPr>
              <w:t>).</w:t>
            </w:r>
          </w:p>
          <w:p w14:paraId="74D61169" w14:textId="77777777" w:rsidR="0078448E" w:rsidRDefault="0078448E">
            <w:pPr>
              <w:pStyle w:val="normal0"/>
              <w:ind w:left="180"/>
              <w:rPr>
                <w:rFonts w:ascii="Muli" w:eastAsia="Muli" w:hAnsi="Muli" w:cs="Muli"/>
                <w:sz w:val="20"/>
                <w:szCs w:val="20"/>
              </w:rPr>
            </w:pPr>
          </w:p>
        </w:tc>
        <w:tc>
          <w:tcPr>
            <w:tcW w:w="4410" w:type="dxa"/>
          </w:tcPr>
          <w:p w14:paraId="5366DBDC"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6E974509" wp14:editId="3C405EB5">
                  <wp:extent cx="2625877" cy="2449513"/>
                  <wp:effectExtent l="12700" t="12700" r="12700" b="12700"/>
                  <wp:docPr id="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
                          <a:srcRect b="7530"/>
                          <a:stretch>
                            <a:fillRect/>
                          </a:stretch>
                        </pic:blipFill>
                        <pic:spPr>
                          <a:xfrm>
                            <a:off x="0" y="0"/>
                            <a:ext cx="2625877" cy="2449513"/>
                          </a:xfrm>
                          <a:prstGeom prst="rect">
                            <a:avLst/>
                          </a:prstGeom>
                          <a:ln w="12700">
                            <a:solidFill>
                              <a:srgbClr val="D9D9D9"/>
                            </a:solidFill>
                            <a:prstDash val="solid"/>
                          </a:ln>
                        </pic:spPr>
                      </pic:pic>
                    </a:graphicData>
                  </a:graphic>
                </wp:inline>
              </w:drawing>
            </w:r>
          </w:p>
          <w:p w14:paraId="2C0D645C"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DQ4L3 TB p. 81</w:t>
            </w:r>
          </w:p>
        </w:tc>
      </w:tr>
      <w:tr w:rsidR="0078448E" w14:paraId="29108125" w14:textId="77777777">
        <w:trPr>
          <w:trHeight w:val="420"/>
        </w:trPr>
        <w:tc>
          <w:tcPr>
            <w:tcW w:w="14100" w:type="dxa"/>
            <w:gridSpan w:val="2"/>
            <w:shd w:val="clear" w:color="auto" w:fill="CCCCCC"/>
          </w:tcPr>
          <w:p w14:paraId="7A7657BA" w14:textId="77777777" w:rsidR="0078448E" w:rsidRDefault="00DF4D5D">
            <w:pPr>
              <w:pStyle w:val="normal0"/>
              <w:spacing w:before="1"/>
              <w:ind w:left="180" w:right="545"/>
              <w:rPr>
                <w:rFonts w:ascii="Muli" w:eastAsia="Muli" w:hAnsi="Muli" w:cs="Muli"/>
                <w:b/>
                <w:sz w:val="20"/>
                <w:szCs w:val="20"/>
              </w:rPr>
            </w:pPr>
            <w:r>
              <w:rPr>
                <w:rFonts w:ascii="Muli" w:eastAsia="Muli" w:hAnsi="Muli" w:cs="Muli"/>
                <w:b/>
                <w:color w:val="1C1C1C"/>
                <w:sz w:val="20"/>
                <w:szCs w:val="20"/>
              </w:rPr>
              <w:lastRenderedPageBreak/>
              <w:t>SW 2: Three-Dimensional Conceptual Framework</w:t>
            </w:r>
          </w:p>
        </w:tc>
      </w:tr>
      <w:tr w:rsidR="0078448E" w14:paraId="14F2F2DB" w14:textId="77777777">
        <w:trPr>
          <w:trHeight w:val="600"/>
        </w:trPr>
        <w:tc>
          <w:tcPr>
            <w:tcW w:w="14100" w:type="dxa"/>
            <w:gridSpan w:val="2"/>
            <w:shd w:val="clear" w:color="auto" w:fill="EFEFEF"/>
          </w:tcPr>
          <w:p w14:paraId="7937249B" w14:textId="77777777" w:rsidR="0078448E" w:rsidRDefault="00DF4D5D">
            <w:pPr>
              <w:pStyle w:val="normal0"/>
              <w:ind w:left="180"/>
              <w:rPr>
                <w:rFonts w:ascii="Muli" w:eastAsia="Muli" w:hAnsi="Muli" w:cs="Muli"/>
                <w:b/>
                <w:color w:val="2F5496"/>
                <w:sz w:val="20"/>
                <w:szCs w:val="20"/>
              </w:rPr>
            </w:pPr>
            <w:r>
              <w:rPr>
                <w:rFonts w:ascii="Muli" w:eastAsia="Muli" w:hAnsi="Muli" w:cs="Muli"/>
                <w:b/>
                <w:color w:val="2F5496"/>
                <w:sz w:val="20"/>
                <w:szCs w:val="20"/>
              </w:rPr>
              <w:t>The Student Work is High Quality (5) in terms of SW2</w:t>
            </w:r>
          </w:p>
          <w:p w14:paraId="5384490A" w14:textId="77777777" w:rsidR="0078448E" w:rsidRDefault="00DF4D5D">
            <w:pPr>
              <w:pStyle w:val="normal0"/>
              <w:ind w:left="180" w:right="261"/>
              <w:rPr>
                <w:rFonts w:ascii="Muli" w:eastAsia="Muli" w:hAnsi="Muli" w:cs="Muli"/>
                <w:b/>
                <w:sz w:val="20"/>
                <w:szCs w:val="20"/>
              </w:rPr>
            </w:pPr>
            <w:r>
              <w:rPr>
                <w:rFonts w:ascii="Muli" w:eastAsia="Muli" w:hAnsi="Muli" w:cs="Muli"/>
                <w:sz w:val="20"/>
                <w:szCs w:val="20"/>
              </w:rPr>
              <w:t>Materials consistently leverage student prior knowledge and experiences to motivate their learning.</w:t>
            </w:r>
          </w:p>
        </w:tc>
      </w:tr>
      <w:tr w:rsidR="0078448E" w14:paraId="53363C13" w14:textId="77777777">
        <w:trPr>
          <w:trHeight w:val="5040"/>
        </w:trPr>
        <w:tc>
          <w:tcPr>
            <w:tcW w:w="9690" w:type="dxa"/>
          </w:tcPr>
          <w:p w14:paraId="475B7674" w14:textId="77777777" w:rsidR="0078448E" w:rsidRDefault="0078448E">
            <w:pPr>
              <w:pStyle w:val="normal0"/>
              <w:ind w:left="180"/>
              <w:rPr>
                <w:rFonts w:ascii="Muli" w:eastAsia="Muli" w:hAnsi="Muli" w:cs="Muli"/>
                <w:b/>
                <w:color w:val="FF126D"/>
                <w:sz w:val="20"/>
                <w:szCs w:val="20"/>
              </w:rPr>
            </w:pPr>
          </w:p>
          <w:p w14:paraId="1ADC1124" w14:textId="77777777" w:rsidR="0078448E" w:rsidRDefault="00DF4D5D">
            <w:pPr>
              <w:pStyle w:val="normal0"/>
              <w:ind w:left="180"/>
              <w:rPr>
                <w:rFonts w:ascii="Muli" w:eastAsia="Muli" w:hAnsi="Muli" w:cs="Muli"/>
                <w:b/>
                <w:color w:val="FF126D"/>
                <w:sz w:val="20"/>
                <w:szCs w:val="20"/>
              </w:rPr>
            </w:pPr>
            <w:r>
              <w:rPr>
                <w:rFonts w:ascii="Muli" w:eastAsia="Muli" w:hAnsi="Muli" w:cs="Muli"/>
                <w:b/>
                <w:color w:val="FF126D"/>
                <w:sz w:val="20"/>
                <w:szCs w:val="20"/>
              </w:rPr>
              <w:t>Evidence</w:t>
            </w:r>
          </w:p>
          <w:p w14:paraId="078A531F" w14:textId="77777777" w:rsidR="0078448E" w:rsidRDefault="00DF4D5D">
            <w:pPr>
              <w:pStyle w:val="normal0"/>
              <w:numPr>
                <w:ilvl w:val="0"/>
                <w:numId w:val="10"/>
              </w:numPr>
              <w:contextualSpacing/>
              <w:rPr>
                <w:rFonts w:ascii="Muli" w:eastAsia="Muli" w:hAnsi="Muli" w:cs="Muli"/>
                <w:sz w:val="20"/>
                <w:szCs w:val="20"/>
              </w:rPr>
            </w:pPr>
            <w:r>
              <w:rPr>
                <w:rFonts w:ascii="Muli" w:eastAsia="Muli" w:hAnsi="Muli" w:cs="Muli"/>
                <w:sz w:val="20"/>
                <w:szCs w:val="20"/>
              </w:rPr>
              <w:t>Students build physical ecosystem models (</w:t>
            </w:r>
            <w:r>
              <w:rPr>
                <w:rFonts w:ascii="Muli" w:eastAsia="Muli" w:hAnsi="Muli" w:cs="Muli"/>
                <w:b/>
                <w:color w:val="FF126D"/>
                <w:sz w:val="20"/>
                <w:szCs w:val="20"/>
              </w:rPr>
              <w:t>DQ2L7 TB p. 38</w:t>
            </w:r>
            <w:proofErr w:type="gramStart"/>
            <w:r>
              <w:rPr>
                <w:rFonts w:ascii="Muli" w:eastAsia="Muli" w:hAnsi="Muli" w:cs="Muli"/>
                <w:sz w:val="20"/>
                <w:szCs w:val="20"/>
              </w:rPr>
              <w:t>) which</w:t>
            </w:r>
            <w:proofErr w:type="gramEnd"/>
            <w:r>
              <w:rPr>
                <w:rFonts w:ascii="Muli" w:eastAsia="Muli" w:hAnsi="Muli" w:cs="Muli"/>
                <w:sz w:val="20"/>
                <w:szCs w:val="20"/>
              </w:rPr>
              <w:t xml:space="preserve"> they return to throughout the module, connecting their models to concepts like dead matter and decomposition.</w:t>
            </w:r>
          </w:p>
        </w:tc>
        <w:tc>
          <w:tcPr>
            <w:tcW w:w="4410" w:type="dxa"/>
          </w:tcPr>
          <w:p w14:paraId="60A372D9"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C7E2A16" wp14:editId="5F2149C9">
                  <wp:extent cx="2547938" cy="2878387"/>
                  <wp:effectExtent l="0" t="0" r="0" b="0"/>
                  <wp:docPr id="2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2547938" cy="2878387"/>
                          </a:xfrm>
                          <a:prstGeom prst="rect">
                            <a:avLst/>
                          </a:prstGeom>
                          <a:ln/>
                        </pic:spPr>
                      </pic:pic>
                    </a:graphicData>
                  </a:graphic>
                </wp:inline>
              </w:drawing>
            </w:r>
          </w:p>
          <w:p w14:paraId="7979DD93"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DQ2L7 TB p. 38</w:t>
            </w:r>
          </w:p>
        </w:tc>
      </w:tr>
      <w:tr w:rsidR="0078448E" w14:paraId="3E204757" w14:textId="77777777">
        <w:trPr>
          <w:trHeight w:val="1980"/>
        </w:trPr>
        <w:tc>
          <w:tcPr>
            <w:tcW w:w="9690" w:type="dxa"/>
          </w:tcPr>
          <w:p w14:paraId="62AB7F7D" w14:textId="77777777" w:rsidR="0078448E" w:rsidRDefault="00DF4D5D">
            <w:pPr>
              <w:pStyle w:val="normal0"/>
              <w:numPr>
                <w:ilvl w:val="0"/>
                <w:numId w:val="10"/>
              </w:numPr>
              <w:contextualSpacing/>
              <w:rPr>
                <w:rFonts w:ascii="Muli" w:eastAsia="Muli" w:hAnsi="Muli" w:cs="Muli"/>
                <w:sz w:val="20"/>
                <w:szCs w:val="20"/>
              </w:rPr>
            </w:pPr>
            <w:r>
              <w:rPr>
                <w:rFonts w:ascii="Muli" w:eastAsia="Muli" w:hAnsi="Muli" w:cs="Muli"/>
                <w:sz w:val="20"/>
                <w:szCs w:val="20"/>
              </w:rPr>
              <w:t>Students revisit their plant needs investigation set up in DQ1, analyzing and interpreting data before representing that data in a bar graph (</w:t>
            </w:r>
            <w:r>
              <w:rPr>
                <w:rFonts w:ascii="Muli" w:eastAsia="Muli" w:hAnsi="Muli" w:cs="Muli"/>
                <w:b/>
                <w:color w:val="FF126D"/>
                <w:sz w:val="20"/>
                <w:szCs w:val="20"/>
              </w:rPr>
              <w:t>DQ3L1 TB pp. 45–48</w:t>
            </w:r>
            <w:r>
              <w:rPr>
                <w:rFonts w:ascii="Muli" w:eastAsia="Muli" w:hAnsi="Muli" w:cs="Muli"/>
                <w:sz w:val="20"/>
                <w:szCs w:val="20"/>
              </w:rPr>
              <w:t>).</w:t>
            </w:r>
          </w:p>
        </w:tc>
        <w:tc>
          <w:tcPr>
            <w:tcW w:w="4410" w:type="dxa"/>
          </w:tcPr>
          <w:p w14:paraId="6846CF66"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B187BEA" wp14:editId="155675F6">
                  <wp:extent cx="2643188" cy="92917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643188" cy="929175"/>
                          </a:xfrm>
                          <a:prstGeom prst="rect">
                            <a:avLst/>
                          </a:prstGeom>
                          <a:ln/>
                        </pic:spPr>
                      </pic:pic>
                    </a:graphicData>
                  </a:graphic>
                </wp:inline>
              </w:drawing>
            </w:r>
          </w:p>
          <w:p w14:paraId="7F8F78F5" w14:textId="77777777" w:rsidR="0078448E" w:rsidRDefault="00DF4D5D">
            <w:pPr>
              <w:pStyle w:val="normal0"/>
              <w:ind w:firstLine="90"/>
              <w:rPr>
                <w:rFonts w:ascii="Muli" w:eastAsia="Muli" w:hAnsi="Muli" w:cs="Muli"/>
                <w:sz w:val="20"/>
                <w:szCs w:val="20"/>
              </w:rPr>
            </w:pPr>
            <w:r>
              <w:rPr>
                <w:rFonts w:ascii="Muli" w:eastAsia="Muli" w:hAnsi="Muli" w:cs="Muli"/>
                <w:b/>
                <w:color w:val="FF126D"/>
                <w:sz w:val="20"/>
                <w:szCs w:val="20"/>
              </w:rPr>
              <w:t>DQ3L1 TB pp. 45–48</w:t>
            </w:r>
          </w:p>
        </w:tc>
      </w:tr>
      <w:tr w:rsidR="0078448E" w14:paraId="606FEBB7" w14:textId="77777777">
        <w:trPr>
          <w:trHeight w:val="1520"/>
        </w:trPr>
        <w:tc>
          <w:tcPr>
            <w:tcW w:w="9690" w:type="dxa"/>
          </w:tcPr>
          <w:p w14:paraId="775DA3A7" w14:textId="77777777" w:rsidR="0078448E" w:rsidRDefault="00DF4D5D">
            <w:pPr>
              <w:pStyle w:val="normal0"/>
              <w:numPr>
                <w:ilvl w:val="0"/>
                <w:numId w:val="10"/>
              </w:numPr>
              <w:contextualSpacing/>
              <w:rPr>
                <w:rFonts w:ascii="Muli" w:eastAsia="Muli" w:hAnsi="Muli" w:cs="Muli"/>
                <w:sz w:val="20"/>
                <w:szCs w:val="20"/>
              </w:rPr>
            </w:pPr>
            <w:r>
              <w:rPr>
                <w:rFonts w:ascii="Muli" w:eastAsia="Muli" w:hAnsi="Muli" w:cs="Muli"/>
                <w:sz w:val="20"/>
                <w:szCs w:val="20"/>
              </w:rPr>
              <w:lastRenderedPageBreak/>
              <w:t>In pairs, students create physical models of matter cycling in an ecosy</w:t>
            </w:r>
            <w:r>
              <w:rPr>
                <w:rFonts w:ascii="Muli" w:eastAsia="Muli" w:hAnsi="Muli" w:cs="Muli"/>
                <w:sz w:val="20"/>
                <w:szCs w:val="20"/>
              </w:rPr>
              <w:t>stem (</w:t>
            </w:r>
            <w:r>
              <w:rPr>
                <w:rFonts w:ascii="Muli" w:eastAsia="Muli" w:hAnsi="Muli" w:cs="Muli"/>
                <w:b/>
                <w:color w:val="FF126D"/>
                <w:sz w:val="20"/>
                <w:szCs w:val="20"/>
              </w:rPr>
              <w:t>DQ5L3 TB p. 104</w:t>
            </w:r>
            <w:r>
              <w:rPr>
                <w:rFonts w:ascii="Muli" w:eastAsia="Muli" w:hAnsi="Muli" w:cs="Muli"/>
                <w:sz w:val="20"/>
                <w:szCs w:val="20"/>
              </w:rPr>
              <w:t>) and observe a guided experiment (</w:t>
            </w:r>
            <w:r>
              <w:rPr>
                <w:rFonts w:ascii="Muli" w:eastAsia="Muli" w:hAnsi="Muli" w:cs="Muli"/>
                <w:b/>
                <w:color w:val="FF126D"/>
                <w:sz w:val="20"/>
                <w:szCs w:val="20"/>
              </w:rPr>
              <w:t>DQ5L4 TB p. 107</w:t>
            </w:r>
            <w:r>
              <w:rPr>
                <w:rFonts w:ascii="Muli" w:eastAsia="Muli" w:hAnsi="Muli" w:cs="Muli"/>
                <w:sz w:val="20"/>
                <w:szCs w:val="20"/>
              </w:rPr>
              <w:t>) in order to understand the concept of decomposition.</w:t>
            </w:r>
          </w:p>
        </w:tc>
        <w:tc>
          <w:tcPr>
            <w:tcW w:w="4410" w:type="dxa"/>
          </w:tcPr>
          <w:p w14:paraId="5E5C2FB5"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30F80974" wp14:editId="368F6BA0">
                  <wp:extent cx="2590800" cy="2311400"/>
                  <wp:effectExtent l="12700" t="12700" r="12700" b="12700"/>
                  <wp:docPr id="5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b="5208"/>
                          <a:stretch>
                            <a:fillRect/>
                          </a:stretch>
                        </pic:blipFill>
                        <pic:spPr>
                          <a:xfrm>
                            <a:off x="0" y="0"/>
                            <a:ext cx="2590800" cy="2311400"/>
                          </a:xfrm>
                          <a:prstGeom prst="rect">
                            <a:avLst/>
                          </a:prstGeom>
                          <a:ln w="12700">
                            <a:solidFill>
                              <a:srgbClr val="D9D9D9"/>
                            </a:solidFill>
                            <a:prstDash val="solid"/>
                          </a:ln>
                        </pic:spPr>
                      </pic:pic>
                    </a:graphicData>
                  </a:graphic>
                </wp:inline>
              </w:drawing>
            </w:r>
          </w:p>
          <w:p w14:paraId="119F1E47" w14:textId="77777777" w:rsidR="0078448E" w:rsidRDefault="00DF4D5D">
            <w:pPr>
              <w:pStyle w:val="normal0"/>
              <w:ind w:left="180" w:hanging="90"/>
              <w:rPr>
                <w:rFonts w:ascii="Muli" w:eastAsia="Muli" w:hAnsi="Muli" w:cs="Muli"/>
                <w:b/>
                <w:color w:val="FF126D"/>
                <w:sz w:val="20"/>
                <w:szCs w:val="20"/>
              </w:rPr>
            </w:pPr>
            <w:r>
              <w:rPr>
                <w:rFonts w:ascii="Muli" w:eastAsia="Muli" w:hAnsi="Muli" w:cs="Muli"/>
                <w:b/>
                <w:color w:val="FF126D"/>
                <w:sz w:val="20"/>
                <w:szCs w:val="20"/>
              </w:rPr>
              <w:t>DQ5L3 TB p. 104</w:t>
            </w:r>
          </w:p>
          <w:p w14:paraId="2059565F" w14:textId="77777777" w:rsidR="0078448E" w:rsidRDefault="0078448E">
            <w:pPr>
              <w:pStyle w:val="normal0"/>
              <w:ind w:left="180" w:hanging="90"/>
              <w:rPr>
                <w:rFonts w:ascii="Muli" w:eastAsia="Muli" w:hAnsi="Muli" w:cs="Muli"/>
                <w:b/>
                <w:color w:val="FF126D"/>
                <w:sz w:val="20"/>
                <w:szCs w:val="20"/>
              </w:rPr>
            </w:pPr>
          </w:p>
          <w:p w14:paraId="1E53466B" w14:textId="77777777" w:rsidR="0078448E" w:rsidRDefault="00DF4D5D">
            <w:pPr>
              <w:pStyle w:val="normal0"/>
              <w:ind w:left="180" w:hanging="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720B3B7" wp14:editId="7C9B3E1B">
                  <wp:extent cx="2566988" cy="2987518"/>
                  <wp:effectExtent l="0" t="0" r="0" b="0"/>
                  <wp:docPr id="4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9"/>
                          <a:srcRect/>
                          <a:stretch>
                            <a:fillRect/>
                          </a:stretch>
                        </pic:blipFill>
                        <pic:spPr>
                          <a:xfrm>
                            <a:off x="0" y="0"/>
                            <a:ext cx="2566988" cy="2987518"/>
                          </a:xfrm>
                          <a:prstGeom prst="rect">
                            <a:avLst/>
                          </a:prstGeom>
                          <a:ln/>
                        </pic:spPr>
                      </pic:pic>
                    </a:graphicData>
                  </a:graphic>
                </wp:inline>
              </w:drawing>
            </w:r>
          </w:p>
          <w:p w14:paraId="7BC12A6B" w14:textId="77777777" w:rsidR="0078448E" w:rsidRDefault="00DF4D5D">
            <w:pPr>
              <w:pStyle w:val="normal0"/>
              <w:ind w:left="90"/>
              <w:rPr>
                <w:rFonts w:ascii="Muli" w:eastAsia="Muli" w:hAnsi="Muli" w:cs="Muli"/>
                <w:b/>
                <w:color w:val="FF126D"/>
                <w:sz w:val="20"/>
                <w:szCs w:val="20"/>
              </w:rPr>
            </w:pPr>
            <w:r>
              <w:rPr>
                <w:rFonts w:ascii="Muli" w:eastAsia="Muli" w:hAnsi="Muli" w:cs="Muli"/>
                <w:b/>
                <w:color w:val="FF126D"/>
                <w:sz w:val="20"/>
                <w:szCs w:val="20"/>
              </w:rPr>
              <w:t>DQ5L4 TB p. 107</w:t>
            </w:r>
          </w:p>
          <w:p w14:paraId="3C8549E0" w14:textId="77777777" w:rsidR="0078448E" w:rsidRDefault="0078448E">
            <w:pPr>
              <w:pStyle w:val="normal0"/>
              <w:ind w:left="180" w:hanging="90"/>
              <w:rPr>
                <w:rFonts w:ascii="Muli" w:eastAsia="Muli" w:hAnsi="Muli" w:cs="Muli"/>
                <w:b/>
                <w:color w:val="FF126D"/>
                <w:sz w:val="20"/>
                <w:szCs w:val="20"/>
              </w:rPr>
            </w:pPr>
          </w:p>
        </w:tc>
      </w:tr>
      <w:tr w:rsidR="0078448E" w14:paraId="1DD00D9D" w14:textId="77777777">
        <w:trPr>
          <w:trHeight w:val="2340"/>
        </w:trPr>
        <w:tc>
          <w:tcPr>
            <w:tcW w:w="9690" w:type="dxa"/>
          </w:tcPr>
          <w:p w14:paraId="40B2C76A" w14:textId="77777777" w:rsidR="0078448E" w:rsidRDefault="00DF4D5D">
            <w:pPr>
              <w:pStyle w:val="normal0"/>
              <w:numPr>
                <w:ilvl w:val="0"/>
                <w:numId w:val="10"/>
              </w:numPr>
              <w:contextualSpacing/>
              <w:rPr>
                <w:rFonts w:ascii="Muli" w:eastAsia="Muli" w:hAnsi="Muli" w:cs="Muli"/>
                <w:sz w:val="20"/>
                <w:szCs w:val="20"/>
              </w:rPr>
            </w:pPr>
            <w:r>
              <w:rPr>
                <w:rFonts w:ascii="Muli" w:eastAsia="Muli" w:hAnsi="Muli" w:cs="Muli"/>
                <w:sz w:val="20"/>
                <w:szCs w:val="20"/>
              </w:rPr>
              <w:lastRenderedPageBreak/>
              <w:t>Students use an interactive to model what happens when a non-native species is introduced to an ecosystem (</w:t>
            </w:r>
            <w:r>
              <w:rPr>
                <w:rFonts w:ascii="Muli" w:eastAsia="Muli" w:hAnsi="Muli" w:cs="Muli"/>
                <w:b/>
                <w:color w:val="FF126D"/>
                <w:sz w:val="20"/>
                <w:szCs w:val="20"/>
              </w:rPr>
              <w:t>DQ6L1 TB pp. 115–118</w:t>
            </w:r>
            <w:r>
              <w:rPr>
                <w:rFonts w:ascii="Muli" w:eastAsia="Muli" w:hAnsi="Muli" w:cs="Muli"/>
                <w:sz w:val="20"/>
                <w:szCs w:val="20"/>
              </w:rPr>
              <w:t>), consolidating their understanding of the Module Phenomenon.</w:t>
            </w:r>
          </w:p>
          <w:p w14:paraId="2598F19F" w14:textId="77777777" w:rsidR="0078448E" w:rsidRDefault="0078448E">
            <w:pPr>
              <w:pStyle w:val="normal0"/>
              <w:spacing w:before="1"/>
              <w:ind w:left="180" w:right="103"/>
              <w:rPr>
                <w:rFonts w:ascii="Muli" w:eastAsia="Muli" w:hAnsi="Muli" w:cs="Muli"/>
                <w:sz w:val="20"/>
                <w:szCs w:val="20"/>
              </w:rPr>
            </w:pPr>
          </w:p>
        </w:tc>
        <w:tc>
          <w:tcPr>
            <w:tcW w:w="4410" w:type="dxa"/>
          </w:tcPr>
          <w:p w14:paraId="777A1881"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6AAA8EB6" wp14:editId="2C31D487">
                  <wp:extent cx="2628900" cy="1171575"/>
                  <wp:effectExtent l="12700" t="12700" r="12700" b="127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r="2127" b="28677"/>
                          <a:stretch>
                            <a:fillRect/>
                          </a:stretch>
                        </pic:blipFill>
                        <pic:spPr>
                          <a:xfrm>
                            <a:off x="0" y="0"/>
                            <a:ext cx="2628900" cy="1171575"/>
                          </a:xfrm>
                          <a:prstGeom prst="rect">
                            <a:avLst/>
                          </a:prstGeom>
                          <a:ln w="12700">
                            <a:solidFill>
                              <a:srgbClr val="D9D9D9"/>
                            </a:solidFill>
                            <a:prstDash val="solid"/>
                          </a:ln>
                        </pic:spPr>
                      </pic:pic>
                    </a:graphicData>
                  </a:graphic>
                </wp:inline>
              </w:drawing>
            </w:r>
          </w:p>
          <w:p w14:paraId="220B1276"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DQ6L1 TB pp. 115–118</w:t>
            </w:r>
          </w:p>
        </w:tc>
      </w:tr>
      <w:tr w:rsidR="0078448E" w14:paraId="0F59BD6D" w14:textId="77777777">
        <w:trPr>
          <w:trHeight w:val="480"/>
        </w:trPr>
        <w:tc>
          <w:tcPr>
            <w:tcW w:w="14100" w:type="dxa"/>
            <w:gridSpan w:val="2"/>
            <w:shd w:val="clear" w:color="auto" w:fill="CCCCCC"/>
          </w:tcPr>
          <w:p w14:paraId="51A70438" w14:textId="77777777" w:rsidR="0078448E" w:rsidRDefault="00DF4D5D">
            <w:pPr>
              <w:pStyle w:val="normal0"/>
              <w:spacing w:before="132"/>
              <w:ind w:left="180"/>
              <w:rPr>
                <w:rFonts w:ascii="Muli" w:eastAsia="Muli" w:hAnsi="Muli" w:cs="Muli"/>
                <w:sz w:val="20"/>
                <w:szCs w:val="20"/>
              </w:rPr>
            </w:pPr>
            <w:r>
              <w:rPr>
                <w:rFonts w:ascii="Muli" w:eastAsia="Muli" w:hAnsi="Muli" w:cs="Muli"/>
                <w:b/>
                <w:sz w:val="20"/>
                <w:szCs w:val="20"/>
              </w:rPr>
              <w:t>SW 3: Prior Knowledge</w:t>
            </w:r>
          </w:p>
        </w:tc>
      </w:tr>
      <w:tr w:rsidR="0078448E" w14:paraId="35966CEF" w14:textId="77777777">
        <w:trPr>
          <w:trHeight w:val="620"/>
        </w:trPr>
        <w:tc>
          <w:tcPr>
            <w:tcW w:w="14100" w:type="dxa"/>
            <w:gridSpan w:val="2"/>
            <w:shd w:val="clear" w:color="auto" w:fill="EFEFEF"/>
          </w:tcPr>
          <w:p w14:paraId="00C4B35A" w14:textId="77777777" w:rsidR="0078448E" w:rsidRDefault="00DF4D5D">
            <w:pPr>
              <w:pStyle w:val="normal0"/>
              <w:ind w:left="180"/>
              <w:rPr>
                <w:rFonts w:ascii="Muli" w:eastAsia="Muli" w:hAnsi="Muli" w:cs="Muli"/>
                <w:color w:val="2F5496"/>
                <w:sz w:val="20"/>
                <w:szCs w:val="20"/>
              </w:rPr>
            </w:pPr>
            <w:r>
              <w:rPr>
                <w:rFonts w:ascii="Muli" w:eastAsia="Muli" w:hAnsi="Muli" w:cs="Muli"/>
                <w:b/>
                <w:color w:val="2F5496"/>
                <w:sz w:val="20"/>
                <w:szCs w:val="20"/>
              </w:rPr>
              <w:t>The Student Work is High Quality (5) in terms of SW3</w:t>
            </w:r>
          </w:p>
          <w:p w14:paraId="15213261" w14:textId="77777777" w:rsidR="0078448E" w:rsidRDefault="00DF4D5D">
            <w:pPr>
              <w:pStyle w:val="normal0"/>
              <w:ind w:left="180" w:right="261"/>
              <w:rPr>
                <w:rFonts w:ascii="Muli" w:eastAsia="Muli" w:hAnsi="Muli" w:cs="Muli"/>
                <w:b/>
                <w:sz w:val="20"/>
                <w:szCs w:val="20"/>
              </w:rPr>
            </w:pPr>
            <w:r>
              <w:rPr>
                <w:rFonts w:ascii="Muli" w:eastAsia="Muli" w:hAnsi="Muli" w:cs="Muli"/>
                <w:sz w:val="20"/>
                <w:szCs w:val="20"/>
              </w:rPr>
              <w:t>Materials consistently leverage student prior knowledge and experiences to motivate their learning.</w:t>
            </w:r>
          </w:p>
        </w:tc>
      </w:tr>
      <w:tr w:rsidR="0078448E" w14:paraId="0EAD00A7" w14:textId="77777777">
        <w:trPr>
          <w:trHeight w:val="2820"/>
        </w:trPr>
        <w:tc>
          <w:tcPr>
            <w:tcW w:w="9690" w:type="dxa"/>
          </w:tcPr>
          <w:p w14:paraId="66DDECEB" w14:textId="77777777" w:rsidR="0078448E" w:rsidRDefault="0078448E">
            <w:pPr>
              <w:pStyle w:val="normal0"/>
              <w:ind w:left="180"/>
              <w:rPr>
                <w:rFonts w:ascii="Muli" w:eastAsia="Muli" w:hAnsi="Muli" w:cs="Muli"/>
                <w:b/>
                <w:color w:val="FF126D"/>
                <w:sz w:val="20"/>
                <w:szCs w:val="20"/>
              </w:rPr>
            </w:pPr>
          </w:p>
          <w:p w14:paraId="6AD6DEAB" w14:textId="77777777" w:rsidR="0078448E" w:rsidRDefault="00DF4D5D">
            <w:pPr>
              <w:pStyle w:val="normal0"/>
              <w:ind w:left="180"/>
              <w:rPr>
                <w:rFonts w:ascii="Muli" w:eastAsia="Muli" w:hAnsi="Muli" w:cs="Muli"/>
                <w:color w:val="FF126D"/>
                <w:sz w:val="20"/>
                <w:szCs w:val="20"/>
              </w:rPr>
            </w:pPr>
            <w:r>
              <w:rPr>
                <w:rFonts w:ascii="Muli" w:eastAsia="Muli" w:hAnsi="Muli" w:cs="Muli"/>
                <w:b/>
                <w:color w:val="FF126D"/>
                <w:sz w:val="20"/>
                <w:szCs w:val="20"/>
              </w:rPr>
              <w:t>Evidence</w:t>
            </w:r>
          </w:p>
          <w:p w14:paraId="50292428" w14:textId="77777777" w:rsidR="0078448E" w:rsidRDefault="00DF4D5D">
            <w:pPr>
              <w:pStyle w:val="normal0"/>
              <w:numPr>
                <w:ilvl w:val="0"/>
                <w:numId w:val="15"/>
              </w:numPr>
              <w:contextualSpacing/>
              <w:rPr>
                <w:rFonts w:ascii="Muli" w:eastAsia="Muli" w:hAnsi="Muli" w:cs="Muli"/>
                <w:sz w:val="20"/>
                <w:szCs w:val="20"/>
              </w:rPr>
            </w:pPr>
            <w:r>
              <w:rPr>
                <w:rFonts w:ascii="Muli" w:eastAsia="Muli" w:hAnsi="Muli" w:cs="Muli"/>
                <w:sz w:val="20"/>
                <w:szCs w:val="20"/>
              </w:rPr>
              <w:t>Students engage with a Prior-Knowledge Read-Aloud about animals, plants, and matter (</w:t>
            </w:r>
            <w:r>
              <w:rPr>
                <w:rFonts w:ascii="Muli" w:eastAsia="Muli" w:hAnsi="Muli" w:cs="Muli"/>
                <w:b/>
                <w:color w:val="FF126D"/>
                <w:sz w:val="20"/>
                <w:szCs w:val="20"/>
              </w:rPr>
              <w:t>DQ1L1 TE p. 8</w:t>
            </w:r>
            <w:r>
              <w:rPr>
                <w:rFonts w:ascii="Muli" w:eastAsia="Muli" w:hAnsi="Muli" w:cs="Muli"/>
                <w:sz w:val="20"/>
                <w:szCs w:val="20"/>
              </w:rPr>
              <w:t xml:space="preserve">).  </w:t>
            </w:r>
          </w:p>
        </w:tc>
        <w:tc>
          <w:tcPr>
            <w:tcW w:w="4410" w:type="dxa"/>
          </w:tcPr>
          <w:p w14:paraId="555CEADF"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EB314EA" wp14:editId="07360EA2">
                  <wp:extent cx="2614613" cy="1543781"/>
                  <wp:effectExtent l="12700" t="12700" r="12700" b="127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614613" cy="1543781"/>
                          </a:xfrm>
                          <a:prstGeom prst="rect">
                            <a:avLst/>
                          </a:prstGeom>
                          <a:ln w="12700">
                            <a:solidFill>
                              <a:srgbClr val="D9D9D9"/>
                            </a:solidFill>
                            <a:prstDash val="solid"/>
                          </a:ln>
                        </pic:spPr>
                      </pic:pic>
                    </a:graphicData>
                  </a:graphic>
                </wp:inline>
              </w:drawing>
            </w:r>
          </w:p>
          <w:p w14:paraId="68AB4CC5"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DQ1L1 TE p. 8</w:t>
            </w:r>
          </w:p>
        </w:tc>
      </w:tr>
      <w:tr w:rsidR="0078448E" w14:paraId="65AF4A6F" w14:textId="77777777">
        <w:trPr>
          <w:trHeight w:val="3140"/>
        </w:trPr>
        <w:tc>
          <w:tcPr>
            <w:tcW w:w="9690" w:type="dxa"/>
          </w:tcPr>
          <w:p w14:paraId="1DFECD67" w14:textId="77777777" w:rsidR="0078448E" w:rsidRDefault="00DF4D5D">
            <w:pPr>
              <w:pStyle w:val="normal0"/>
              <w:numPr>
                <w:ilvl w:val="0"/>
                <w:numId w:val="15"/>
              </w:numPr>
              <w:contextualSpacing/>
              <w:rPr>
                <w:rFonts w:ascii="Muli" w:eastAsia="Muli" w:hAnsi="Muli" w:cs="Muli"/>
                <w:sz w:val="20"/>
                <w:szCs w:val="20"/>
              </w:rPr>
            </w:pPr>
            <w:r>
              <w:rPr>
                <w:rFonts w:ascii="Muli" w:eastAsia="Muli" w:hAnsi="Muli" w:cs="Muli"/>
                <w:sz w:val="20"/>
                <w:szCs w:val="20"/>
              </w:rPr>
              <w:t>Students observe a series of slides from Yellowstone, activating their prior knowledge of the national park, its features, and some of the organisms that live in it (</w:t>
            </w:r>
            <w:r>
              <w:rPr>
                <w:rFonts w:ascii="Muli" w:eastAsia="Muli" w:hAnsi="Muli" w:cs="Muli"/>
                <w:b/>
                <w:color w:val="FF126D"/>
                <w:sz w:val="20"/>
                <w:szCs w:val="20"/>
              </w:rPr>
              <w:t>DQ1L1 TE p. 9</w:t>
            </w:r>
            <w:r>
              <w:rPr>
                <w:rFonts w:ascii="Muli" w:eastAsia="Muli" w:hAnsi="Muli" w:cs="Muli"/>
                <w:sz w:val="20"/>
                <w:szCs w:val="20"/>
              </w:rPr>
              <w:t xml:space="preserve">). </w:t>
            </w:r>
          </w:p>
        </w:tc>
        <w:tc>
          <w:tcPr>
            <w:tcW w:w="4410" w:type="dxa"/>
          </w:tcPr>
          <w:p w14:paraId="531AADE0"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3FDC041D" wp14:editId="7696AD44">
                  <wp:extent cx="2614613" cy="1713330"/>
                  <wp:effectExtent l="12700" t="12700" r="12700" b="12700"/>
                  <wp:docPr id="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2614613" cy="1713330"/>
                          </a:xfrm>
                          <a:prstGeom prst="rect">
                            <a:avLst/>
                          </a:prstGeom>
                          <a:ln w="12700">
                            <a:solidFill>
                              <a:srgbClr val="D9D9D9"/>
                            </a:solidFill>
                            <a:prstDash val="solid"/>
                          </a:ln>
                        </pic:spPr>
                      </pic:pic>
                    </a:graphicData>
                  </a:graphic>
                </wp:inline>
              </w:drawing>
            </w:r>
          </w:p>
          <w:p w14:paraId="418D52D3"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DQ1L1 TE p. 9</w:t>
            </w:r>
          </w:p>
        </w:tc>
      </w:tr>
      <w:tr w:rsidR="0078448E" w14:paraId="458376AE" w14:textId="77777777">
        <w:trPr>
          <w:trHeight w:val="3440"/>
        </w:trPr>
        <w:tc>
          <w:tcPr>
            <w:tcW w:w="9690" w:type="dxa"/>
          </w:tcPr>
          <w:p w14:paraId="10C75FBD" w14:textId="77777777" w:rsidR="0078448E" w:rsidRDefault="00DF4D5D">
            <w:pPr>
              <w:pStyle w:val="normal0"/>
              <w:numPr>
                <w:ilvl w:val="0"/>
                <w:numId w:val="15"/>
              </w:numPr>
              <w:contextualSpacing/>
              <w:rPr>
                <w:rFonts w:ascii="Muli" w:eastAsia="Muli" w:hAnsi="Muli" w:cs="Muli"/>
                <w:sz w:val="20"/>
                <w:szCs w:val="20"/>
              </w:rPr>
            </w:pPr>
            <w:r>
              <w:rPr>
                <w:rFonts w:ascii="Muli" w:eastAsia="Muli" w:hAnsi="Muli" w:cs="Muli"/>
                <w:sz w:val="20"/>
                <w:szCs w:val="20"/>
              </w:rPr>
              <w:lastRenderedPageBreak/>
              <w:t>Students review all the evidence they have gathered throughout the Driving Question and use it to construct scientific explanations (</w:t>
            </w:r>
            <w:r>
              <w:rPr>
                <w:rFonts w:ascii="Muli" w:eastAsia="Muli" w:hAnsi="Muli" w:cs="Muli"/>
                <w:b/>
                <w:color w:val="FF126D"/>
                <w:sz w:val="20"/>
                <w:szCs w:val="20"/>
              </w:rPr>
              <w:t>DQ2L6 TE p. 78</w:t>
            </w:r>
            <w:r>
              <w:rPr>
                <w:rFonts w:ascii="Muli" w:eastAsia="Muli" w:hAnsi="Muli" w:cs="Muli"/>
                <w:color w:val="FF0000"/>
                <w:sz w:val="20"/>
                <w:szCs w:val="20"/>
              </w:rPr>
              <w:t>,</w:t>
            </w:r>
            <w:r>
              <w:rPr>
                <w:rFonts w:ascii="Muli" w:eastAsia="Muli" w:hAnsi="Muli" w:cs="Muli"/>
                <w:sz w:val="20"/>
                <w:szCs w:val="20"/>
              </w:rPr>
              <w:t xml:space="preserve"> TB pp. 35–36).</w:t>
            </w:r>
          </w:p>
        </w:tc>
        <w:tc>
          <w:tcPr>
            <w:tcW w:w="4410" w:type="dxa"/>
          </w:tcPr>
          <w:p w14:paraId="4BB0A037"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0D81F6A7" wp14:editId="4DE01C57">
                  <wp:extent cx="2643188" cy="1876392"/>
                  <wp:effectExtent l="12700" t="12700" r="12700" b="12700"/>
                  <wp:docPr id="3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3"/>
                          <a:srcRect/>
                          <a:stretch>
                            <a:fillRect/>
                          </a:stretch>
                        </pic:blipFill>
                        <pic:spPr>
                          <a:xfrm>
                            <a:off x="0" y="0"/>
                            <a:ext cx="2643188" cy="1876392"/>
                          </a:xfrm>
                          <a:prstGeom prst="rect">
                            <a:avLst/>
                          </a:prstGeom>
                          <a:ln w="12700">
                            <a:solidFill>
                              <a:srgbClr val="D9D9D9"/>
                            </a:solidFill>
                            <a:prstDash val="solid"/>
                          </a:ln>
                        </pic:spPr>
                      </pic:pic>
                    </a:graphicData>
                  </a:graphic>
                </wp:inline>
              </w:drawing>
            </w:r>
          </w:p>
          <w:p w14:paraId="51FF2D8E"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DQ2L6 TE p. 78</w:t>
            </w:r>
          </w:p>
        </w:tc>
      </w:tr>
      <w:tr w:rsidR="0078448E" w14:paraId="37A30C3D" w14:textId="77777777">
        <w:trPr>
          <w:trHeight w:val="3520"/>
        </w:trPr>
        <w:tc>
          <w:tcPr>
            <w:tcW w:w="9690" w:type="dxa"/>
          </w:tcPr>
          <w:p w14:paraId="5F6CBFBC" w14:textId="77777777" w:rsidR="0078448E" w:rsidRDefault="00DF4D5D">
            <w:pPr>
              <w:pStyle w:val="normal0"/>
              <w:numPr>
                <w:ilvl w:val="0"/>
                <w:numId w:val="15"/>
              </w:numPr>
              <w:contextualSpacing/>
              <w:rPr>
                <w:rFonts w:ascii="Muli" w:eastAsia="Muli" w:hAnsi="Muli" w:cs="Muli"/>
                <w:sz w:val="20"/>
                <w:szCs w:val="20"/>
              </w:rPr>
            </w:pPr>
            <w:r>
              <w:rPr>
                <w:rFonts w:ascii="Muli" w:eastAsia="Muli" w:hAnsi="Muli" w:cs="Muli"/>
                <w:sz w:val="20"/>
                <w:szCs w:val="20"/>
              </w:rPr>
              <w:t xml:space="preserve">Students review the science tools they’ve used and </w:t>
            </w:r>
            <w:proofErr w:type="gramStart"/>
            <w:r>
              <w:rPr>
                <w:rFonts w:ascii="Muli" w:eastAsia="Muli" w:hAnsi="Muli" w:cs="Muli"/>
                <w:sz w:val="20"/>
                <w:szCs w:val="20"/>
              </w:rPr>
              <w:t>add</w:t>
            </w:r>
            <w:proofErr w:type="gramEnd"/>
            <w:r>
              <w:rPr>
                <w:rFonts w:ascii="Muli" w:eastAsia="Muli" w:hAnsi="Muli" w:cs="Muli"/>
                <w:sz w:val="20"/>
                <w:szCs w:val="20"/>
              </w:rPr>
              <w:t xml:space="preserve"> “Ask questions” to </w:t>
            </w:r>
            <w:r>
              <w:rPr>
                <w:rFonts w:ascii="Muli" w:eastAsia="Muli" w:hAnsi="Muli" w:cs="Muli"/>
                <w:sz w:val="20"/>
                <w:szCs w:val="20"/>
              </w:rPr>
              <w:t>the Science Tools poster (</w:t>
            </w:r>
            <w:r>
              <w:rPr>
                <w:rFonts w:ascii="Muli" w:eastAsia="Muli" w:hAnsi="Muli" w:cs="Muli"/>
                <w:b/>
                <w:color w:val="FF126D"/>
                <w:sz w:val="20"/>
                <w:szCs w:val="20"/>
              </w:rPr>
              <w:t>DQ3L1 TE p. 97</w:t>
            </w:r>
            <w:r>
              <w:rPr>
                <w:rFonts w:ascii="Muli" w:eastAsia="Muli" w:hAnsi="Muli" w:cs="Muli"/>
                <w:sz w:val="20"/>
                <w:szCs w:val="20"/>
              </w:rPr>
              <w:t>).</w:t>
            </w:r>
          </w:p>
        </w:tc>
        <w:tc>
          <w:tcPr>
            <w:tcW w:w="4410" w:type="dxa"/>
          </w:tcPr>
          <w:p w14:paraId="6A0476EC"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29AC0DDF" wp14:editId="489CFCCD">
                  <wp:extent cx="1604963" cy="1958745"/>
                  <wp:effectExtent l="0" t="0" r="0" b="0"/>
                  <wp:docPr id="4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1604963" cy="1958745"/>
                          </a:xfrm>
                          <a:prstGeom prst="rect">
                            <a:avLst/>
                          </a:prstGeom>
                          <a:ln/>
                        </pic:spPr>
                      </pic:pic>
                    </a:graphicData>
                  </a:graphic>
                </wp:inline>
              </w:drawing>
            </w:r>
          </w:p>
          <w:p w14:paraId="48531D97"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DQ3L1 TE p. 97</w:t>
            </w:r>
          </w:p>
        </w:tc>
      </w:tr>
      <w:tr w:rsidR="0078448E" w14:paraId="15C6D916" w14:textId="77777777">
        <w:trPr>
          <w:trHeight w:val="5080"/>
        </w:trPr>
        <w:tc>
          <w:tcPr>
            <w:tcW w:w="9690" w:type="dxa"/>
          </w:tcPr>
          <w:p w14:paraId="05194699" w14:textId="77777777" w:rsidR="0078448E" w:rsidRDefault="00DF4D5D">
            <w:pPr>
              <w:pStyle w:val="normal0"/>
              <w:numPr>
                <w:ilvl w:val="0"/>
                <w:numId w:val="15"/>
              </w:numPr>
              <w:contextualSpacing/>
              <w:rPr>
                <w:rFonts w:ascii="Muli" w:eastAsia="Muli" w:hAnsi="Muli" w:cs="Muli"/>
                <w:sz w:val="20"/>
                <w:szCs w:val="20"/>
              </w:rPr>
            </w:pPr>
            <w:r>
              <w:rPr>
                <w:rFonts w:ascii="Muli" w:eastAsia="Muli" w:hAnsi="Muli" w:cs="Muli"/>
                <w:sz w:val="20"/>
                <w:szCs w:val="20"/>
              </w:rPr>
              <w:lastRenderedPageBreak/>
              <w:t>Students complete a diagnostic pre-assessment to elicit awareness of their prior knowledge and misconceptions of dead matter and decomposition (</w:t>
            </w:r>
            <w:r>
              <w:rPr>
                <w:rFonts w:ascii="Muli" w:eastAsia="Muli" w:hAnsi="Muli" w:cs="Muli"/>
                <w:b/>
                <w:color w:val="FF126D"/>
                <w:sz w:val="20"/>
                <w:szCs w:val="20"/>
              </w:rPr>
              <w:t>DQ4L4 TB p. 88</w:t>
            </w:r>
            <w:r>
              <w:rPr>
                <w:rFonts w:ascii="Muli" w:eastAsia="Muli" w:hAnsi="Muli" w:cs="Muli"/>
                <w:sz w:val="20"/>
                <w:szCs w:val="20"/>
              </w:rPr>
              <w:t>).</w:t>
            </w:r>
          </w:p>
        </w:tc>
        <w:tc>
          <w:tcPr>
            <w:tcW w:w="4410" w:type="dxa"/>
          </w:tcPr>
          <w:p w14:paraId="35B6052B"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499B27AD" wp14:editId="604E0491">
                  <wp:extent cx="2214563" cy="2940153"/>
                  <wp:effectExtent l="0" t="0" r="0" b="0"/>
                  <wp:docPr id="3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5"/>
                          <a:srcRect/>
                          <a:stretch>
                            <a:fillRect/>
                          </a:stretch>
                        </pic:blipFill>
                        <pic:spPr>
                          <a:xfrm>
                            <a:off x="0" y="0"/>
                            <a:ext cx="2214563" cy="2940153"/>
                          </a:xfrm>
                          <a:prstGeom prst="rect">
                            <a:avLst/>
                          </a:prstGeom>
                          <a:ln/>
                        </pic:spPr>
                      </pic:pic>
                    </a:graphicData>
                  </a:graphic>
                </wp:inline>
              </w:drawing>
            </w:r>
          </w:p>
          <w:p w14:paraId="22F11532"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DQ4L4 TB p. 88</w:t>
            </w:r>
          </w:p>
        </w:tc>
      </w:tr>
      <w:tr w:rsidR="0078448E" w14:paraId="26EE9C53" w14:textId="77777777">
        <w:trPr>
          <w:trHeight w:val="4700"/>
        </w:trPr>
        <w:tc>
          <w:tcPr>
            <w:tcW w:w="9690" w:type="dxa"/>
          </w:tcPr>
          <w:p w14:paraId="0882E422" w14:textId="77777777" w:rsidR="0078448E" w:rsidRDefault="00DF4D5D">
            <w:pPr>
              <w:pStyle w:val="normal0"/>
              <w:numPr>
                <w:ilvl w:val="0"/>
                <w:numId w:val="15"/>
              </w:numPr>
              <w:contextualSpacing/>
              <w:rPr>
                <w:rFonts w:ascii="Muli" w:eastAsia="Muli" w:hAnsi="Muli" w:cs="Muli"/>
                <w:sz w:val="20"/>
                <w:szCs w:val="20"/>
              </w:rPr>
            </w:pPr>
            <w:r>
              <w:rPr>
                <w:rFonts w:ascii="Muli" w:eastAsia="Muli" w:hAnsi="Muli" w:cs="Muli"/>
                <w:sz w:val="20"/>
                <w:szCs w:val="20"/>
              </w:rPr>
              <w:t>Following a collaborative language routine, students revise their explanations about how matter moves through an ecosystem (</w:t>
            </w:r>
            <w:r>
              <w:rPr>
                <w:rFonts w:ascii="Muli" w:eastAsia="Muli" w:hAnsi="Muli" w:cs="Muli"/>
                <w:b/>
                <w:color w:val="FF126D"/>
                <w:sz w:val="20"/>
                <w:szCs w:val="20"/>
              </w:rPr>
              <w:t>DQ5L4 TE p. 182</w:t>
            </w:r>
            <w:r>
              <w:rPr>
                <w:rFonts w:ascii="Muli" w:eastAsia="Muli" w:hAnsi="Muli" w:cs="Muli"/>
                <w:sz w:val="20"/>
                <w:szCs w:val="20"/>
              </w:rPr>
              <w:t>, TB p. 110).</w:t>
            </w:r>
          </w:p>
        </w:tc>
        <w:tc>
          <w:tcPr>
            <w:tcW w:w="4410" w:type="dxa"/>
          </w:tcPr>
          <w:p w14:paraId="2076963D"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2C121E05" wp14:editId="4E167C82">
                  <wp:extent cx="2509838" cy="2698289"/>
                  <wp:effectExtent l="12700" t="12700" r="12700" b="12700"/>
                  <wp:docPr id="4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6"/>
                          <a:srcRect/>
                          <a:stretch>
                            <a:fillRect/>
                          </a:stretch>
                        </pic:blipFill>
                        <pic:spPr>
                          <a:xfrm>
                            <a:off x="0" y="0"/>
                            <a:ext cx="2509838" cy="2698289"/>
                          </a:xfrm>
                          <a:prstGeom prst="rect">
                            <a:avLst/>
                          </a:prstGeom>
                          <a:ln w="12700">
                            <a:solidFill>
                              <a:srgbClr val="D9D9D9"/>
                            </a:solidFill>
                            <a:prstDash val="solid"/>
                          </a:ln>
                        </pic:spPr>
                      </pic:pic>
                    </a:graphicData>
                  </a:graphic>
                </wp:inline>
              </w:drawing>
            </w:r>
          </w:p>
          <w:p w14:paraId="006E6A3F" w14:textId="77777777" w:rsidR="0078448E" w:rsidRDefault="00DF4D5D">
            <w:pPr>
              <w:pStyle w:val="normal0"/>
              <w:ind w:left="180" w:hanging="90"/>
              <w:rPr>
                <w:rFonts w:ascii="Muli" w:eastAsia="Muli" w:hAnsi="Muli" w:cs="Muli"/>
                <w:sz w:val="20"/>
                <w:szCs w:val="20"/>
              </w:rPr>
            </w:pPr>
            <w:r>
              <w:rPr>
                <w:rFonts w:ascii="Muli" w:eastAsia="Muli" w:hAnsi="Muli" w:cs="Muli"/>
                <w:b/>
                <w:color w:val="FF126D"/>
                <w:sz w:val="20"/>
                <w:szCs w:val="20"/>
              </w:rPr>
              <w:t>DQ5L4 TE p. 182</w:t>
            </w:r>
          </w:p>
        </w:tc>
      </w:tr>
      <w:tr w:rsidR="0078448E" w14:paraId="2F67E6D4" w14:textId="77777777">
        <w:trPr>
          <w:trHeight w:val="2680"/>
        </w:trPr>
        <w:tc>
          <w:tcPr>
            <w:tcW w:w="9690" w:type="dxa"/>
          </w:tcPr>
          <w:p w14:paraId="2AEFE0CA" w14:textId="77777777" w:rsidR="0078448E" w:rsidRDefault="00DF4D5D">
            <w:pPr>
              <w:pStyle w:val="normal0"/>
              <w:numPr>
                <w:ilvl w:val="0"/>
                <w:numId w:val="15"/>
              </w:numPr>
              <w:contextualSpacing/>
              <w:rPr>
                <w:rFonts w:ascii="Muli" w:eastAsia="Muli" w:hAnsi="Muli" w:cs="Muli"/>
                <w:sz w:val="20"/>
                <w:szCs w:val="20"/>
              </w:rPr>
            </w:pPr>
            <w:r>
              <w:rPr>
                <w:rFonts w:ascii="Muli" w:eastAsia="Muli" w:hAnsi="Muli" w:cs="Muli"/>
                <w:sz w:val="20"/>
                <w:szCs w:val="20"/>
              </w:rPr>
              <w:lastRenderedPageBreak/>
              <w:t>Students reflect on their new understandings and ideas about ecosystems, comparing and contrasting the Yellowstone ecosystem with other ecosystems they’ve studied in science class (</w:t>
            </w:r>
            <w:r>
              <w:rPr>
                <w:rFonts w:ascii="Muli" w:eastAsia="Muli" w:hAnsi="Muli" w:cs="Muli"/>
                <w:b/>
                <w:color w:val="FF126D"/>
                <w:sz w:val="20"/>
                <w:szCs w:val="20"/>
              </w:rPr>
              <w:t>DQ6L2 TE p. 208</w:t>
            </w:r>
            <w:r>
              <w:rPr>
                <w:rFonts w:ascii="Muli" w:eastAsia="Muli" w:hAnsi="Muli" w:cs="Muli"/>
                <w:sz w:val="20"/>
                <w:szCs w:val="20"/>
              </w:rPr>
              <w:t>, TB p. 132).</w:t>
            </w:r>
          </w:p>
          <w:p w14:paraId="4F8F730C" w14:textId="77777777" w:rsidR="0078448E" w:rsidRDefault="0078448E">
            <w:pPr>
              <w:pStyle w:val="normal0"/>
              <w:ind w:left="180"/>
              <w:rPr>
                <w:rFonts w:ascii="Muli" w:eastAsia="Muli" w:hAnsi="Muli" w:cs="Muli"/>
                <w:b/>
                <w:sz w:val="20"/>
                <w:szCs w:val="20"/>
              </w:rPr>
            </w:pPr>
          </w:p>
        </w:tc>
        <w:tc>
          <w:tcPr>
            <w:tcW w:w="4410" w:type="dxa"/>
          </w:tcPr>
          <w:p w14:paraId="4D3D6465"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4FB36722" wp14:editId="30887060">
                  <wp:extent cx="2624138" cy="1459844"/>
                  <wp:effectExtent l="12700" t="12700" r="12700" b="12700"/>
                  <wp:docPr id="4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7"/>
                          <a:srcRect/>
                          <a:stretch>
                            <a:fillRect/>
                          </a:stretch>
                        </pic:blipFill>
                        <pic:spPr>
                          <a:xfrm>
                            <a:off x="0" y="0"/>
                            <a:ext cx="2624138" cy="1459844"/>
                          </a:xfrm>
                          <a:prstGeom prst="rect">
                            <a:avLst/>
                          </a:prstGeom>
                          <a:ln w="12700">
                            <a:solidFill>
                              <a:srgbClr val="D9D9D9"/>
                            </a:solidFill>
                            <a:prstDash val="solid"/>
                          </a:ln>
                        </pic:spPr>
                      </pic:pic>
                    </a:graphicData>
                  </a:graphic>
                </wp:inline>
              </w:drawing>
            </w:r>
          </w:p>
          <w:p w14:paraId="47414E5B"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DQ6L2 TE p. 208</w:t>
            </w:r>
          </w:p>
        </w:tc>
      </w:tr>
      <w:tr w:rsidR="0078448E" w14:paraId="21D0F861" w14:textId="77777777">
        <w:trPr>
          <w:trHeight w:val="480"/>
        </w:trPr>
        <w:tc>
          <w:tcPr>
            <w:tcW w:w="14100" w:type="dxa"/>
            <w:gridSpan w:val="2"/>
            <w:shd w:val="clear" w:color="auto" w:fill="CCCCCC"/>
          </w:tcPr>
          <w:p w14:paraId="400F30D3" w14:textId="77777777" w:rsidR="0078448E" w:rsidRDefault="00DF4D5D">
            <w:pPr>
              <w:pStyle w:val="normal0"/>
              <w:spacing w:before="132"/>
              <w:ind w:left="180"/>
              <w:rPr>
                <w:rFonts w:ascii="Muli" w:eastAsia="Muli" w:hAnsi="Muli" w:cs="Muli"/>
                <w:sz w:val="20"/>
                <w:szCs w:val="20"/>
              </w:rPr>
            </w:pPr>
            <w:r>
              <w:rPr>
                <w:rFonts w:ascii="Muli" w:eastAsia="Muli" w:hAnsi="Muli" w:cs="Muli"/>
                <w:b/>
                <w:color w:val="1C1C1C"/>
                <w:sz w:val="20"/>
                <w:szCs w:val="20"/>
              </w:rPr>
              <w:t>SW 4: Metacognitive Abilit</w:t>
            </w:r>
            <w:r>
              <w:rPr>
                <w:rFonts w:ascii="Muli" w:eastAsia="Muli" w:hAnsi="Muli" w:cs="Muli"/>
                <w:b/>
                <w:color w:val="1C1C1C"/>
                <w:sz w:val="20"/>
                <w:szCs w:val="20"/>
              </w:rPr>
              <w:t>ies</w:t>
            </w:r>
          </w:p>
        </w:tc>
      </w:tr>
      <w:tr w:rsidR="0078448E" w14:paraId="77F0A10B" w14:textId="77777777">
        <w:trPr>
          <w:trHeight w:val="600"/>
        </w:trPr>
        <w:tc>
          <w:tcPr>
            <w:tcW w:w="14100" w:type="dxa"/>
            <w:gridSpan w:val="2"/>
            <w:shd w:val="clear" w:color="auto" w:fill="EFEFEF"/>
          </w:tcPr>
          <w:p w14:paraId="68D56007" w14:textId="77777777" w:rsidR="0078448E" w:rsidRDefault="00DF4D5D">
            <w:pPr>
              <w:pStyle w:val="normal0"/>
              <w:ind w:left="180"/>
              <w:rPr>
                <w:rFonts w:ascii="Muli" w:eastAsia="Muli" w:hAnsi="Muli" w:cs="Muli"/>
                <w:b/>
                <w:color w:val="2F5496"/>
                <w:sz w:val="20"/>
                <w:szCs w:val="20"/>
              </w:rPr>
            </w:pPr>
            <w:r>
              <w:rPr>
                <w:rFonts w:ascii="Muli" w:eastAsia="Muli" w:hAnsi="Muli" w:cs="Muli"/>
                <w:b/>
                <w:color w:val="2F5496"/>
                <w:sz w:val="20"/>
                <w:szCs w:val="20"/>
              </w:rPr>
              <w:t>The Student Work is High Quality (5) in terms of SW4</w:t>
            </w:r>
          </w:p>
          <w:p w14:paraId="5CD1CE9F" w14:textId="77777777" w:rsidR="0078448E" w:rsidRDefault="00DF4D5D">
            <w:pPr>
              <w:pStyle w:val="normal0"/>
              <w:spacing w:before="1"/>
              <w:ind w:left="180" w:right="280"/>
              <w:rPr>
                <w:rFonts w:ascii="Muli" w:eastAsia="Muli" w:hAnsi="Muli" w:cs="Muli"/>
                <w:b/>
                <w:sz w:val="20"/>
                <w:szCs w:val="20"/>
              </w:rPr>
            </w:pPr>
            <w:r>
              <w:rPr>
                <w:rFonts w:ascii="Muli" w:eastAsia="Muli" w:hAnsi="Muli" w:cs="Muli"/>
                <w:sz w:val="20"/>
                <w:szCs w:val="20"/>
              </w:rPr>
              <w:t>The materials provide students with regular, explicit opportunities to consider how their learning experiences changed their thinking.</w:t>
            </w:r>
          </w:p>
        </w:tc>
      </w:tr>
      <w:tr w:rsidR="0078448E" w14:paraId="5DBAD65B" w14:textId="77777777">
        <w:trPr>
          <w:trHeight w:val="1780"/>
        </w:trPr>
        <w:tc>
          <w:tcPr>
            <w:tcW w:w="9690" w:type="dxa"/>
          </w:tcPr>
          <w:p w14:paraId="655F29CA" w14:textId="77777777" w:rsidR="0078448E" w:rsidRDefault="0078448E">
            <w:pPr>
              <w:pStyle w:val="normal0"/>
              <w:ind w:left="180"/>
              <w:rPr>
                <w:rFonts w:ascii="Muli" w:eastAsia="Muli" w:hAnsi="Muli" w:cs="Muli"/>
                <w:b/>
                <w:color w:val="FF126D"/>
                <w:sz w:val="20"/>
                <w:szCs w:val="20"/>
              </w:rPr>
            </w:pPr>
          </w:p>
          <w:p w14:paraId="0ED321E6" w14:textId="77777777" w:rsidR="0078448E" w:rsidRDefault="00DF4D5D">
            <w:pPr>
              <w:pStyle w:val="normal0"/>
              <w:ind w:left="180"/>
              <w:rPr>
                <w:rFonts w:ascii="Muli" w:eastAsia="Muli" w:hAnsi="Muli" w:cs="Muli"/>
                <w:b/>
                <w:color w:val="FF126D"/>
                <w:sz w:val="20"/>
                <w:szCs w:val="20"/>
              </w:rPr>
            </w:pPr>
            <w:r>
              <w:rPr>
                <w:rFonts w:ascii="Muli" w:eastAsia="Muli" w:hAnsi="Muli" w:cs="Muli"/>
                <w:b/>
                <w:color w:val="FF126D"/>
                <w:sz w:val="20"/>
                <w:szCs w:val="20"/>
              </w:rPr>
              <w:t>Evidence</w:t>
            </w:r>
          </w:p>
          <w:p w14:paraId="54C81D2A" w14:textId="77777777" w:rsidR="0078448E" w:rsidRDefault="00DF4D5D">
            <w:pPr>
              <w:pStyle w:val="normal0"/>
              <w:numPr>
                <w:ilvl w:val="0"/>
                <w:numId w:val="9"/>
              </w:numPr>
              <w:contextualSpacing/>
              <w:rPr>
                <w:rFonts w:ascii="Muli" w:eastAsia="Muli" w:hAnsi="Muli" w:cs="Muli"/>
                <w:sz w:val="20"/>
                <w:szCs w:val="20"/>
              </w:rPr>
            </w:pPr>
            <w:r>
              <w:rPr>
                <w:rFonts w:ascii="Muli" w:eastAsia="Muli" w:hAnsi="Muli" w:cs="Muli"/>
                <w:sz w:val="20"/>
                <w:szCs w:val="20"/>
              </w:rPr>
              <w:t>Students close read and annotate an informational text, which the class works to summarize following a discussion (</w:t>
            </w:r>
            <w:r>
              <w:rPr>
                <w:rFonts w:ascii="Muli" w:eastAsia="Muli" w:hAnsi="Muli" w:cs="Muli"/>
                <w:b/>
                <w:color w:val="FF126D"/>
                <w:sz w:val="20"/>
                <w:szCs w:val="20"/>
              </w:rPr>
              <w:t>DQ1L3 TE pp. 23–24</w:t>
            </w:r>
            <w:r>
              <w:rPr>
                <w:rFonts w:ascii="Muli" w:eastAsia="Muli" w:hAnsi="Muli" w:cs="Muli"/>
                <w:sz w:val="20"/>
                <w:szCs w:val="20"/>
              </w:rPr>
              <w:t>).</w:t>
            </w:r>
          </w:p>
        </w:tc>
        <w:tc>
          <w:tcPr>
            <w:tcW w:w="4410" w:type="dxa"/>
          </w:tcPr>
          <w:p w14:paraId="1C13BF55"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D4BD15D" wp14:editId="60ABC95B">
                  <wp:extent cx="2614613" cy="847741"/>
                  <wp:effectExtent l="12700" t="12700" r="12700" b="1270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614613" cy="847741"/>
                          </a:xfrm>
                          <a:prstGeom prst="rect">
                            <a:avLst/>
                          </a:prstGeom>
                          <a:ln w="12700">
                            <a:solidFill>
                              <a:srgbClr val="D9D9D9"/>
                            </a:solidFill>
                            <a:prstDash val="solid"/>
                          </a:ln>
                        </pic:spPr>
                      </pic:pic>
                    </a:graphicData>
                  </a:graphic>
                </wp:inline>
              </w:drawing>
            </w:r>
          </w:p>
          <w:p w14:paraId="3C9FE902"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DQ1L3 TE pp. 23–24</w:t>
            </w:r>
          </w:p>
        </w:tc>
      </w:tr>
      <w:tr w:rsidR="0078448E" w14:paraId="5AD4FC36" w14:textId="77777777">
        <w:trPr>
          <w:trHeight w:val="1920"/>
        </w:trPr>
        <w:tc>
          <w:tcPr>
            <w:tcW w:w="9690" w:type="dxa"/>
          </w:tcPr>
          <w:p w14:paraId="63BE38B9" w14:textId="77777777" w:rsidR="0078448E" w:rsidRDefault="00DF4D5D">
            <w:pPr>
              <w:pStyle w:val="normal0"/>
              <w:numPr>
                <w:ilvl w:val="0"/>
                <w:numId w:val="9"/>
              </w:numPr>
              <w:contextualSpacing/>
              <w:rPr>
                <w:rFonts w:ascii="Muli" w:eastAsia="Muli" w:hAnsi="Muli" w:cs="Muli"/>
                <w:sz w:val="20"/>
                <w:szCs w:val="20"/>
              </w:rPr>
            </w:pPr>
            <w:r>
              <w:rPr>
                <w:rFonts w:ascii="Muli" w:eastAsia="Muli" w:hAnsi="Muli" w:cs="Muli"/>
                <w:sz w:val="20"/>
                <w:szCs w:val="20"/>
              </w:rPr>
              <w:t>Students consider how their learning experiences have changed their understanding of what animals need to grow and heal, and share what they still wonder (</w:t>
            </w:r>
            <w:r>
              <w:rPr>
                <w:rFonts w:ascii="Muli" w:eastAsia="Muli" w:hAnsi="Muli" w:cs="Muli"/>
                <w:b/>
                <w:color w:val="FF126D"/>
                <w:sz w:val="20"/>
                <w:szCs w:val="20"/>
              </w:rPr>
              <w:t>DQ2L6 TB p. 37</w:t>
            </w:r>
            <w:r>
              <w:rPr>
                <w:rFonts w:ascii="Muli" w:eastAsia="Muli" w:hAnsi="Muli" w:cs="Muli"/>
                <w:sz w:val="20"/>
                <w:szCs w:val="20"/>
              </w:rPr>
              <w:t>).</w:t>
            </w:r>
          </w:p>
        </w:tc>
        <w:tc>
          <w:tcPr>
            <w:tcW w:w="4410" w:type="dxa"/>
          </w:tcPr>
          <w:p w14:paraId="1392FEFB"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3958898B" wp14:editId="14A1590A">
                  <wp:extent cx="2643188" cy="974281"/>
                  <wp:effectExtent l="12700" t="12700" r="12700" b="12700"/>
                  <wp:docPr id="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2643188" cy="974281"/>
                          </a:xfrm>
                          <a:prstGeom prst="rect">
                            <a:avLst/>
                          </a:prstGeom>
                          <a:ln w="12700">
                            <a:solidFill>
                              <a:srgbClr val="D9D9D9"/>
                            </a:solidFill>
                            <a:prstDash val="solid"/>
                          </a:ln>
                        </pic:spPr>
                      </pic:pic>
                    </a:graphicData>
                  </a:graphic>
                </wp:inline>
              </w:drawing>
            </w:r>
          </w:p>
          <w:p w14:paraId="094C9AA2" w14:textId="77777777" w:rsidR="0078448E" w:rsidRDefault="00DF4D5D">
            <w:pPr>
              <w:pStyle w:val="normal0"/>
              <w:ind w:firstLine="180"/>
              <w:rPr>
                <w:rFonts w:ascii="Muli" w:eastAsia="Muli" w:hAnsi="Muli" w:cs="Muli"/>
                <w:sz w:val="20"/>
                <w:szCs w:val="20"/>
              </w:rPr>
            </w:pPr>
            <w:r>
              <w:rPr>
                <w:rFonts w:ascii="Muli" w:eastAsia="Muli" w:hAnsi="Muli" w:cs="Muli"/>
                <w:b/>
                <w:color w:val="FF126D"/>
                <w:sz w:val="20"/>
                <w:szCs w:val="20"/>
              </w:rPr>
              <w:t>DQ2L6 TB p. 37</w:t>
            </w:r>
          </w:p>
        </w:tc>
      </w:tr>
      <w:tr w:rsidR="0078448E" w14:paraId="04F16582" w14:textId="77777777">
        <w:trPr>
          <w:trHeight w:val="5340"/>
        </w:trPr>
        <w:tc>
          <w:tcPr>
            <w:tcW w:w="9690" w:type="dxa"/>
          </w:tcPr>
          <w:p w14:paraId="37DC88C5" w14:textId="77777777" w:rsidR="0078448E" w:rsidRDefault="00DF4D5D">
            <w:pPr>
              <w:pStyle w:val="normal0"/>
              <w:numPr>
                <w:ilvl w:val="0"/>
                <w:numId w:val="9"/>
              </w:numPr>
              <w:contextualSpacing/>
              <w:rPr>
                <w:rFonts w:ascii="Muli" w:eastAsia="Muli" w:hAnsi="Muli" w:cs="Muli"/>
                <w:sz w:val="20"/>
                <w:szCs w:val="20"/>
              </w:rPr>
            </w:pPr>
            <w:r>
              <w:rPr>
                <w:rFonts w:ascii="Muli" w:eastAsia="Muli" w:hAnsi="Muli" w:cs="Muli"/>
                <w:sz w:val="20"/>
                <w:szCs w:val="20"/>
              </w:rPr>
              <w:lastRenderedPageBreak/>
              <w:t>Students reflect on their two hands-on plant investigations as the</w:t>
            </w:r>
            <w:r>
              <w:rPr>
                <w:rFonts w:ascii="Muli" w:eastAsia="Muli" w:hAnsi="Muli" w:cs="Muli"/>
                <w:sz w:val="20"/>
                <w:szCs w:val="20"/>
              </w:rPr>
              <w:t>y consider how they know if a plant has grown or not (</w:t>
            </w:r>
            <w:r>
              <w:rPr>
                <w:rFonts w:ascii="Muli" w:eastAsia="Muli" w:hAnsi="Muli" w:cs="Muli"/>
                <w:b/>
                <w:color w:val="FF126D"/>
                <w:sz w:val="20"/>
                <w:szCs w:val="20"/>
              </w:rPr>
              <w:t>DQ3L2 TE pp. 100–101</w:t>
            </w:r>
            <w:r>
              <w:rPr>
                <w:rFonts w:ascii="Muli" w:eastAsia="Muli" w:hAnsi="Muli" w:cs="Muli"/>
                <w:sz w:val="20"/>
                <w:szCs w:val="20"/>
              </w:rPr>
              <w:t>, TB p. 52).</w:t>
            </w:r>
          </w:p>
        </w:tc>
        <w:tc>
          <w:tcPr>
            <w:tcW w:w="4410" w:type="dxa"/>
          </w:tcPr>
          <w:p w14:paraId="2277CFA6"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CE18950" wp14:editId="435D69C6">
                  <wp:extent cx="2586038" cy="3097949"/>
                  <wp:effectExtent l="12700" t="12700" r="12700" b="1270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2586038" cy="3097949"/>
                          </a:xfrm>
                          <a:prstGeom prst="rect">
                            <a:avLst/>
                          </a:prstGeom>
                          <a:ln w="12700">
                            <a:solidFill>
                              <a:srgbClr val="D9D9D9"/>
                            </a:solidFill>
                            <a:prstDash val="solid"/>
                          </a:ln>
                        </pic:spPr>
                      </pic:pic>
                    </a:graphicData>
                  </a:graphic>
                </wp:inline>
              </w:drawing>
            </w:r>
          </w:p>
          <w:p w14:paraId="6965E43A"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DQ3L2 TE pp. 100–101</w:t>
            </w:r>
          </w:p>
        </w:tc>
      </w:tr>
      <w:tr w:rsidR="0078448E" w14:paraId="4950AFFE" w14:textId="77777777">
        <w:trPr>
          <w:trHeight w:val="780"/>
        </w:trPr>
        <w:tc>
          <w:tcPr>
            <w:tcW w:w="9690" w:type="dxa"/>
          </w:tcPr>
          <w:p w14:paraId="3BCFD6F0" w14:textId="77777777" w:rsidR="0078448E" w:rsidRDefault="00DF4D5D">
            <w:pPr>
              <w:pStyle w:val="normal0"/>
              <w:numPr>
                <w:ilvl w:val="0"/>
                <w:numId w:val="9"/>
              </w:numPr>
              <w:contextualSpacing/>
              <w:rPr>
                <w:rFonts w:ascii="Muli" w:eastAsia="Muli" w:hAnsi="Muli" w:cs="Muli"/>
                <w:sz w:val="20"/>
                <w:szCs w:val="20"/>
              </w:rPr>
            </w:pPr>
            <w:r>
              <w:rPr>
                <w:rFonts w:ascii="Muli" w:eastAsia="Muli" w:hAnsi="Muli" w:cs="Muli"/>
                <w:sz w:val="20"/>
                <w:szCs w:val="20"/>
              </w:rPr>
              <w:t>The “I can” statement details use of the three dimensions students will use in this DQ. "</w:t>
            </w:r>
            <w:r>
              <w:rPr>
                <w:rFonts w:ascii="Muli" w:eastAsia="Muli" w:hAnsi="Muli" w:cs="Muli"/>
                <w:sz w:val="20"/>
                <w:szCs w:val="20"/>
              </w:rPr>
              <w:t>I can... Investigate where dead matter goes in an ecosystem" (</w:t>
            </w:r>
            <w:r>
              <w:rPr>
                <w:rFonts w:ascii="Muli" w:eastAsia="Muli" w:hAnsi="Muli" w:cs="Muli"/>
                <w:b/>
                <w:color w:val="FF126D"/>
                <w:sz w:val="20"/>
                <w:szCs w:val="20"/>
              </w:rPr>
              <w:t>DQ5 TB p. 90</w:t>
            </w:r>
            <w:r>
              <w:rPr>
                <w:rFonts w:ascii="Muli" w:eastAsia="Muli" w:hAnsi="Muli" w:cs="Muli"/>
                <w:sz w:val="20"/>
                <w:szCs w:val="20"/>
              </w:rPr>
              <w:t>).</w:t>
            </w:r>
          </w:p>
        </w:tc>
        <w:tc>
          <w:tcPr>
            <w:tcW w:w="4410" w:type="dxa"/>
          </w:tcPr>
          <w:p w14:paraId="2F757D32"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1AFB51B" wp14:editId="7CC3C763">
                  <wp:extent cx="2586038" cy="2762559"/>
                  <wp:effectExtent l="0" t="0" r="0" b="0"/>
                  <wp:docPr id="6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9"/>
                          <a:srcRect/>
                          <a:stretch>
                            <a:fillRect/>
                          </a:stretch>
                        </pic:blipFill>
                        <pic:spPr>
                          <a:xfrm>
                            <a:off x="0" y="0"/>
                            <a:ext cx="2586038" cy="2762559"/>
                          </a:xfrm>
                          <a:prstGeom prst="rect">
                            <a:avLst/>
                          </a:prstGeom>
                          <a:ln/>
                        </pic:spPr>
                      </pic:pic>
                    </a:graphicData>
                  </a:graphic>
                </wp:inline>
              </w:drawing>
            </w:r>
          </w:p>
        </w:tc>
      </w:tr>
      <w:tr w:rsidR="0078448E" w14:paraId="50EA4EC0" w14:textId="77777777">
        <w:trPr>
          <w:trHeight w:val="3340"/>
        </w:trPr>
        <w:tc>
          <w:tcPr>
            <w:tcW w:w="9690" w:type="dxa"/>
          </w:tcPr>
          <w:p w14:paraId="377C9265" w14:textId="77777777" w:rsidR="0078448E" w:rsidRDefault="00DF4D5D">
            <w:pPr>
              <w:pStyle w:val="normal0"/>
              <w:numPr>
                <w:ilvl w:val="0"/>
                <w:numId w:val="9"/>
              </w:numPr>
              <w:contextualSpacing/>
              <w:rPr>
                <w:rFonts w:ascii="Muli" w:eastAsia="Muli" w:hAnsi="Muli" w:cs="Muli"/>
                <w:sz w:val="20"/>
                <w:szCs w:val="20"/>
              </w:rPr>
            </w:pPr>
            <w:r>
              <w:rPr>
                <w:rFonts w:ascii="Muli" w:eastAsia="Muli" w:hAnsi="Muli" w:cs="Muli"/>
                <w:sz w:val="20"/>
                <w:szCs w:val="20"/>
              </w:rPr>
              <w:lastRenderedPageBreak/>
              <w:t>Students use a rubric to reflect on and self-assess their scientific arguments, writing how they think they could improve them (</w:t>
            </w:r>
            <w:r>
              <w:rPr>
                <w:rFonts w:ascii="Muli" w:eastAsia="Muli" w:hAnsi="Muli" w:cs="Muli"/>
                <w:b/>
                <w:color w:val="FF126D"/>
                <w:sz w:val="20"/>
                <w:szCs w:val="20"/>
              </w:rPr>
              <w:t>DQ5L4 TB p. 112</w:t>
            </w:r>
            <w:r>
              <w:rPr>
                <w:rFonts w:ascii="Muli" w:eastAsia="Muli" w:hAnsi="Muli" w:cs="Muli"/>
                <w:sz w:val="20"/>
                <w:szCs w:val="20"/>
              </w:rPr>
              <w:t xml:space="preserve">). </w:t>
            </w:r>
          </w:p>
        </w:tc>
        <w:tc>
          <w:tcPr>
            <w:tcW w:w="4410" w:type="dxa"/>
          </w:tcPr>
          <w:p w14:paraId="4108EE7B"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DC52775" wp14:editId="0F87B582">
                  <wp:extent cx="2614613" cy="1811489"/>
                  <wp:effectExtent l="0" t="0" r="0" b="0"/>
                  <wp:docPr id="5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2"/>
                          <a:srcRect/>
                          <a:stretch>
                            <a:fillRect/>
                          </a:stretch>
                        </pic:blipFill>
                        <pic:spPr>
                          <a:xfrm>
                            <a:off x="0" y="0"/>
                            <a:ext cx="2614613" cy="1811489"/>
                          </a:xfrm>
                          <a:prstGeom prst="rect">
                            <a:avLst/>
                          </a:prstGeom>
                          <a:ln/>
                        </pic:spPr>
                      </pic:pic>
                    </a:graphicData>
                  </a:graphic>
                </wp:inline>
              </w:drawing>
            </w:r>
          </w:p>
          <w:p w14:paraId="0EB1AA98" w14:textId="77777777" w:rsidR="0078448E" w:rsidRDefault="00DF4D5D">
            <w:pPr>
              <w:pStyle w:val="normal0"/>
              <w:ind w:left="90"/>
              <w:rPr>
                <w:rFonts w:ascii="Muli" w:eastAsia="Muli" w:hAnsi="Muli" w:cs="Muli"/>
                <w:b/>
                <w:color w:val="FF126D"/>
                <w:sz w:val="20"/>
                <w:szCs w:val="20"/>
              </w:rPr>
            </w:pPr>
            <w:r>
              <w:rPr>
                <w:rFonts w:ascii="Muli" w:eastAsia="Muli" w:hAnsi="Muli" w:cs="Muli"/>
                <w:b/>
                <w:color w:val="FF126D"/>
                <w:sz w:val="20"/>
                <w:szCs w:val="20"/>
              </w:rPr>
              <w:t>DQ5L4 TB p. 112</w:t>
            </w:r>
          </w:p>
        </w:tc>
      </w:tr>
      <w:tr w:rsidR="0078448E" w14:paraId="4AA639F2" w14:textId="77777777">
        <w:trPr>
          <w:trHeight w:val="2220"/>
        </w:trPr>
        <w:tc>
          <w:tcPr>
            <w:tcW w:w="9690" w:type="dxa"/>
          </w:tcPr>
          <w:p w14:paraId="47DC0B2B" w14:textId="77777777" w:rsidR="0078448E" w:rsidRDefault="00DF4D5D">
            <w:pPr>
              <w:pStyle w:val="normal0"/>
              <w:numPr>
                <w:ilvl w:val="0"/>
                <w:numId w:val="9"/>
              </w:numPr>
              <w:contextualSpacing/>
              <w:rPr>
                <w:rFonts w:ascii="Muli" w:eastAsia="Muli" w:hAnsi="Muli" w:cs="Muli"/>
                <w:sz w:val="20"/>
                <w:szCs w:val="20"/>
              </w:rPr>
            </w:pPr>
            <w:r>
              <w:rPr>
                <w:rFonts w:ascii="Muli" w:eastAsia="Muli" w:hAnsi="Muli" w:cs="Muli"/>
                <w:sz w:val="20"/>
                <w:szCs w:val="20"/>
              </w:rPr>
              <w:t>Students reflect on all they learned in the module, sharing their favorite learning (</w:t>
            </w:r>
            <w:r>
              <w:rPr>
                <w:rFonts w:ascii="Muli" w:eastAsia="Muli" w:hAnsi="Muli" w:cs="Muli"/>
                <w:b/>
                <w:color w:val="FF126D"/>
                <w:sz w:val="20"/>
                <w:szCs w:val="20"/>
              </w:rPr>
              <w:t>DQ6L2 TB p. 131</w:t>
            </w:r>
            <w:r>
              <w:rPr>
                <w:rFonts w:ascii="Muli" w:eastAsia="Muli" w:hAnsi="Muli" w:cs="Muli"/>
                <w:sz w:val="20"/>
                <w:szCs w:val="20"/>
              </w:rPr>
              <w:t>).</w:t>
            </w:r>
          </w:p>
        </w:tc>
        <w:tc>
          <w:tcPr>
            <w:tcW w:w="4410" w:type="dxa"/>
          </w:tcPr>
          <w:p w14:paraId="5FA54E48"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644AF565" wp14:editId="2AB5143C">
                  <wp:extent cx="2605088" cy="1093603"/>
                  <wp:effectExtent l="12700" t="12700" r="12700" b="12700"/>
                  <wp:docPr id="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3"/>
                          <a:srcRect b="16553"/>
                          <a:stretch>
                            <a:fillRect/>
                          </a:stretch>
                        </pic:blipFill>
                        <pic:spPr>
                          <a:xfrm>
                            <a:off x="0" y="0"/>
                            <a:ext cx="2605088" cy="1093603"/>
                          </a:xfrm>
                          <a:prstGeom prst="rect">
                            <a:avLst/>
                          </a:prstGeom>
                          <a:ln w="12700">
                            <a:solidFill>
                              <a:srgbClr val="CCCCCC"/>
                            </a:solidFill>
                            <a:prstDash val="solid"/>
                          </a:ln>
                        </pic:spPr>
                      </pic:pic>
                    </a:graphicData>
                  </a:graphic>
                </wp:inline>
              </w:drawing>
            </w:r>
          </w:p>
          <w:p w14:paraId="63B8FBF1" w14:textId="77777777" w:rsidR="0078448E" w:rsidRDefault="00DF4D5D">
            <w:pPr>
              <w:pStyle w:val="normal0"/>
              <w:ind w:left="90"/>
              <w:rPr>
                <w:rFonts w:ascii="Muli" w:eastAsia="Muli" w:hAnsi="Muli" w:cs="Muli"/>
                <w:sz w:val="20"/>
                <w:szCs w:val="20"/>
              </w:rPr>
            </w:pPr>
            <w:r>
              <w:rPr>
                <w:rFonts w:ascii="Muli" w:eastAsia="Muli" w:hAnsi="Muli" w:cs="Muli"/>
                <w:b/>
                <w:color w:val="FF126D"/>
                <w:sz w:val="20"/>
                <w:szCs w:val="20"/>
              </w:rPr>
              <w:t>DQ6L2 TB p. 131</w:t>
            </w:r>
          </w:p>
        </w:tc>
      </w:tr>
      <w:tr w:rsidR="0078448E" w14:paraId="23067ADB" w14:textId="77777777">
        <w:trPr>
          <w:trHeight w:val="400"/>
        </w:trPr>
        <w:tc>
          <w:tcPr>
            <w:tcW w:w="14100" w:type="dxa"/>
            <w:gridSpan w:val="2"/>
            <w:shd w:val="clear" w:color="auto" w:fill="CCCCCC"/>
          </w:tcPr>
          <w:p w14:paraId="6609DA3E" w14:textId="77777777" w:rsidR="0078448E" w:rsidRDefault="00DF4D5D">
            <w:pPr>
              <w:pStyle w:val="normal0"/>
              <w:spacing w:before="1"/>
              <w:ind w:left="180" w:right="633"/>
              <w:rPr>
                <w:rFonts w:ascii="Muli" w:eastAsia="Muli" w:hAnsi="Muli" w:cs="Muli"/>
                <w:sz w:val="20"/>
                <w:szCs w:val="20"/>
              </w:rPr>
            </w:pPr>
            <w:r>
              <w:rPr>
                <w:rFonts w:ascii="Muli" w:eastAsia="Muli" w:hAnsi="Muli" w:cs="Muli"/>
                <w:b/>
                <w:color w:val="1C1C1C"/>
                <w:sz w:val="20"/>
                <w:szCs w:val="20"/>
              </w:rPr>
              <w:t>SW 5: Equitable Learning Opportunities</w:t>
            </w:r>
          </w:p>
        </w:tc>
      </w:tr>
      <w:tr w:rsidR="0078448E" w14:paraId="4999262A" w14:textId="77777777">
        <w:trPr>
          <w:trHeight w:val="740"/>
        </w:trPr>
        <w:tc>
          <w:tcPr>
            <w:tcW w:w="14100" w:type="dxa"/>
            <w:gridSpan w:val="2"/>
            <w:shd w:val="clear" w:color="auto" w:fill="EFEFEF"/>
          </w:tcPr>
          <w:p w14:paraId="4AA3E07A" w14:textId="77777777" w:rsidR="0078448E" w:rsidRDefault="00DF4D5D">
            <w:pPr>
              <w:pStyle w:val="normal0"/>
              <w:ind w:left="180"/>
              <w:rPr>
                <w:rFonts w:ascii="Muli" w:eastAsia="Muli" w:hAnsi="Muli" w:cs="Muli"/>
                <w:b/>
                <w:color w:val="2F5496"/>
                <w:sz w:val="20"/>
                <w:szCs w:val="20"/>
              </w:rPr>
            </w:pPr>
            <w:r>
              <w:rPr>
                <w:rFonts w:ascii="Muli" w:eastAsia="Muli" w:hAnsi="Muli" w:cs="Muli"/>
                <w:b/>
                <w:color w:val="2F5496"/>
                <w:sz w:val="20"/>
                <w:szCs w:val="20"/>
              </w:rPr>
              <w:t>The Student Work is High Quality (5) in terms of SW5</w:t>
            </w:r>
          </w:p>
          <w:p w14:paraId="0BE775A6" w14:textId="77777777" w:rsidR="0078448E" w:rsidRDefault="00DF4D5D">
            <w:pPr>
              <w:pStyle w:val="normal0"/>
              <w:spacing w:before="1"/>
              <w:ind w:left="180" w:right="233"/>
              <w:rPr>
                <w:rFonts w:ascii="Muli" w:eastAsia="Muli" w:hAnsi="Muli" w:cs="Muli"/>
                <w:sz w:val="20"/>
                <w:szCs w:val="20"/>
              </w:rPr>
            </w:pPr>
            <w:r>
              <w:rPr>
                <w:rFonts w:ascii="Muli" w:eastAsia="Muli" w:hAnsi="Muli" w:cs="Muli"/>
                <w:sz w:val="20"/>
                <w:szCs w:val="20"/>
              </w:rPr>
              <w:t>Most learning experiences in materials are designed such that students can engage meaningfully in a variety of ways, with multiple access points, and with supports for students.</w:t>
            </w:r>
          </w:p>
        </w:tc>
      </w:tr>
      <w:tr w:rsidR="0078448E" w14:paraId="0F501598" w14:textId="77777777">
        <w:trPr>
          <w:trHeight w:val="2940"/>
        </w:trPr>
        <w:tc>
          <w:tcPr>
            <w:tcW w:w="9690" w:type="dxa"/>
          </w:tcPr>
          <w:p w14:paraId="1359F054" w14:textId="77777777" w:rsidR="0078448E" w:rsidRDefault="0078448E">
            <w:pPr>
              <w:pStyle w:val="normal0"/>
              <w:ind w:left="180"/>
              <w:rPr>
                <w:rFonts w:ascii="Muli" w:eastAsia="Muli" w:hAnsi="Muli" w:cs="Muli"/>
                <w:b/>
                <w:color w:val="FF126D"/>
                <w:sz w:val="20"/>
                <w:szCs w:val="20"/>
              </w:rPr>
            </w:pPr>
          </w:p>
          <w:p w14:paraId="7C657C89" w14:textId="77777777" w:rsidR="0078448E" w:rsidRDefault="00DF4D5D">
            <w:pPr>
              <w:pStyle w:val="normal0"/>
              <w:ind w:left="180"/>
              <w:rPr>
                <w:rFonts w:ascii="Muli" w:eastAsia="Muli" w:hAnsi="Muli" w:cs="Muli"/>
                <w:b/>
                <w:sz w:val="20"/>
                <w:szCs w:val="20"/>
              </w:rPr>
            </w:pPr>
            <w:r>
              <w:rPr>
                <w:rFonts w:ascii="Muli" w:eastAsia="Muli" w:hAnsi="Muli" w:cs="Muli"/>
                <w:b/>
                <w:color w:val="FF126D"/>
                <w:sz w:val="20"/>
                <w:szCs w:val="20"/>
              </w:rPr>
              <w:t>Evidence</w:t>
            </w:r>
            <w:r>
              <w:rPr>
                <w:rFonts w:ascii="Muli" w:eastAsia="Muli" w:hAnsi="Muli" w:cs="Muli"/>
                <w:b/>
                <w:sz w:val="20"/>
                <w:szCs w:val="20"/>
              </w:rPr>
              <w:t xml:space="preserve"> </w:t>
            </w:r>
          </w:p>
          <w:p w14:paraId="5C67928C" w14:textId="77777777" w:rsidR="0078448E" w:rsidRDefault="00DF4D5D">
            <w:pPr>
              <w:pStyle w:val="normal0"/>
              <w:numPr>
                <w:ilvl w:val="0"/>
                <w:numId w:val="18"/>
              </w:numPr>
              <w:contextualSpacing/>
              <w:rPr>
                <w:rFonts w:ascii="Muli" w:eastAsia="Muli" w:hAnsi="Muli" w:cs="Muli"/>
                <w:sz w:val="20"/>
                <w:szCs w:val="20"/>
              </w:rPr>
            </w:pPr>
            <w:r>
              <w:rPr>
                <w:rFonts w:ascii="Muli" w:eastAsia="Muli" w:hAnsi="Muli" w:cs="Muli"/>
                <w:sz w:val="20"/>
                <w:szCs w:val="20"/>
              </w:rPr>
              <w:t>Integrated EL sidebars offer teachers guidance to support students</w:t>
            </w:r>
            <w:r>
              <w:rPr>
                <w:rFonts w:ascii="Muli" w:eastAsia="Muli" w:hAnsi="Muli" w:cs="Muli"/>
                <w:sz w:val="20"/>
                <w:szCs w:val="20"/>
              </w:rPr>
              <w:t>’ engagement with the material (</w:t>
            </w:r>
            <w:r>
              <w:rPr>
                <w:rFonts w:ascii="Muli" w:eastAsia="Muli" w:hAnsi="Muli" w:cs="Muli"/>
                <w:b/>
                <w:color w:val="FF126D"/>
                <w:sz w:val="20"/>
                <w:szCs w:val="20"/>
              </w:rPr>
              <w:t>DQ1L1 TE p. 8</w:t>
            </w:r>
            <w:r>
              <w:rPr>
                <w:rFonts w:ascii="Muli" w:eastAsia="Muli" w:hAnsi="Muli" w:cs="Muli"/>
                <w:color w:val="FF0000"/>
                <w:sz w:val="20"/>
                <w:szCs w:val="20"/>
              </w:rPr>
              <w:t xml:space="preserve">, </w:t>
            </w:r>
            <w:r>
              <w:rPr>
                <w:rFonts w:ascii="Muli" w:eastAsia="Muli" w:hAnsi="Muli" w:cs="Muli"/>
                <w:b/>
                <w:color w:val="FF126D"/>
                <w:sz w:val="20"/>
                <w:szCs w:val="20"/>
              </w:rPr>
              <w:t>DQ2L3 TE p. 54</w:t>
            </w:r>
            <w:r>
              <w:rPr>
                <w:rFonts w:ascii="Muli" w:eastAsia="Muli" w:hAnsi="Muli" w:cs="Muli"/>
                <w:color w:val="FF0000"/>
                <w:sz w:val="20"/>
                <w:szCs w:val="20"/>
              </w:rPr>
              <w:t xml:space="preserve">, </w:t>
            </w:r>
            <w:r>
              <w:rPr>
                <w:rFonts w:ascii="Muli" w:eastAsia="Muli" w:hAnsi="Muli" w:cs="Muli"/>
                <w:b/>
                <w:color w:val="FF126D"/>
                <w:sz w:val="20"/>
                <w:szCs w:val="20"/>
              </w:rPr>
              <w:t>DQ3L4 TE p. 115</w:t>
            </w:r>
            <w:r>
              <w:rPr>
                <w:rFonts w:ascii="Muli" w:eastAsia="Muli" w:hAnsi="Muli" w:cs="Muli"/>
                <w:color w:val="FF0000"/>
                <w:sz w:val="20"/>
                <w:szCs w:val="20"/>
              </w:rPr>
              <w:t xml:space="preserve">, </w:t>
            </w:r>
            <w:r>
              <w:rPr>
                <w:rFonts w:ascii="Muli" w:eastAsia="Muli" w:hAnsi="Muli" w:cs="Muli"/>
                <w:b/>
                <w:color w:val="FF126D"/>
                <w:sz w:val="20"/>
                <w:szCs w:val="20"/>
              </w:rPr>
              <w:t>DQ4L4 TE p. 147</w:t>
            </w:r>
            <w:r>
              <w:rPr>
                <w:rFonts w:ascii="Muli" w:eastAsia="Muli" w:hAnsi="Muli" w:cs="Muli"/>
                <w:sz w:val="20"/>
                <w:szCs w:val="20"/>
              </w:rPr>
              <w:t>).</w:t>
            </w:r>
          </w:p>
          <w:p w14:paraId="0C6DEB97" w14:textId="77777777" w:rsidR="0078448E" w:rsidRDefault="0078448E">
            <w:pPr>
              <w:pStyle w:val="normal0"/>
              <w:rPr>
                <w:rFonts w:ascii="Muli" w:eastAsia="Muli" w:hAnsi="Muli" w:cs="Muli"/>
                <w:sz w:val="20"/>
                <w:szCs w:val="20"/>
              </w:rPr>
            </w:pPr>
          </w:p>
        </w:tc>
        <w:tc>
          <w:tcPr>
            <w:tcW w:w="4410" w:type="dxa"/>
          </w:tcPr>
          <w:p w14:paraId="6FF3B474" w14:textId="77777777" w:rsidR="0078448E" w:rsidRDefault="00DF4D5D">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FD614E4" wp14:editId="52EC5986">
                  <wp:extent cx="2624138" cy="1549405"/>
                  <wp:effectExtent l="12700" t="12700" r="12700" b="1270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624138" cy="1549405"/>
                          </a:xfrm>
                          <a:prstGeom prst="rect">
                            <a:avLst/>
                          </a:prstGeom>
                          <a:ln w="12700">
                            <a:solidFill>
                              <a:srgbClr val="D9D9D9"/>
                            </a:solidFill>
                            <a:prstDash val="solid"/>
                          </a:ln>
                        </pic:spPr>
                      </pic:pic>
                    </a:graphicData>
                  </a:graphic>
                </wp:inline>
              </w:drawing>
            </w:r>
          </w:p>
          <w:p w14:paraId="735EB39C" w14:textId="77777777" w:rsidR="0078448E" w:rsidRDefault="00DF4D5D">
            <w:pPr>
              <w:pStyle w:val="normal0"/>
              <w:ind w:left="90"/>
              <w:rPr>
                <w:rFonts w:ascii="Muli" w:eastAsia="Muli" w:hAnsi="Muli" w:cs="Muli"/>
                <w:b/>
                <w:color w:val="FF126D"/>
                <w:sz w:val="20"/>
                <w:szCs w:val="20"/>
              </w:rPr>
            </w:pPr>
            <w:r>
              <w:rPr>
                <w:rFonts w:ascii="Muli" w:eastAsia="Muli" w:hAnsi="Muli" w:cs="Muli"/>
                <w:b/>
                <w:color w:val="FF126D"/>
                <w:sz w:val="20"/>
                <w:szCs w:val="20"/>
              </w:rPr>
              <w:t>DQ1L1 TE p. 8</w:t>
            </w:r>
            <w:r>
              <w:rPr>
                <w:rFonts w:ascii="Muli" w:eastAsia="Muli" w:hAnsi="Muli" w:cs="Muli"/>
                <w:b/>
                <w:noProof/>
                <w:color w:val="FF126D"/>
                <w:sz w:val="20"/>
                <w:szCs w:val="20"/>
              </w:rPr>
              <w:lastRenderedPageBreak/>
              <w:drawing>
                <wp:inline distT="114300" distB="114300" distL="114300" distR="114300" wp14:anchorId="50335CB2" wp14:editId="5D77EB89">
                  <wp:extent cx="1895475" cy="2305050"/>
                  <wp:effectExtent l="0" t="0" r="0" b="0"/>
                  <wp:docPr id="5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1895475" cy="2305050"/>
                          </a:xfrm>
                          <a:prstGeom prst="rect">
                            <a:avLst/>
                          </a:prstGeom>
                          <a:ln/>
                        </pic:spPr>
                      </pic:pic>
                    </a:graphicData>
                  </a:graphic>
                </wp:inline>
              </w:drawing>
            </w:r>
          </w:p>
          <w:p w14:paraId="131D500D" w14:textId="77777777" w:rsidR="0078448E" w:rsidRDefault="00DF4D5D">
            <w:pPr>
              <w:pStyle w:val="normal0"/>
              <w:ind w:left="90"/>
              <w:rPr>
                <w:rFonts w:ascii="Muli" w:eastAsia="Muli" w:hAnsi="Muli" w:cs="Muli"/>
                <w:b/>
                <w:color w:val="FF126D"/>
                <w:sz w:val="20"/>
                <w:szCs w:val="20"/>
              </w:rPr>
            </w:pPr>
            <w:r>
              <w:rPr>
                <w:rFonts w:ascii="Muli" w:eastAsia="Muli" w:hAnsi="Muli" w:cs="Muli"/>
                <w:b/>
                <w:color w:val="FF126D"/>
                <w:sz w:val="20"/>
                <w:szCs w:val="20"/>
              </w:rPr>
              <w:t>DQ2L3 TE p. 54</w:t>
            </w:r>
          </w:p>
          <w:p w14:paraId="6694B73F" w14:textId="77777777" w:rsidR="0078448E" w:rsidRDefault="0078448E">
            <w:pPr>
              <w:pStyle w:val="normal0"/>
              <w:ind w:left="90"/>
              <w:rPr>
                <w:rFonts w:ascii="Muli" w:eastAsia="Muli" w:hAnsi="Muli" w:cs="Muli"/>
                <w:b/>
                <w:color w:val="FF126D"/>
                <w:sz w:val="20"/>
                <w:szCs w:val="20"/>
              </w:rPr>
            </w:pPr>
          </w:p>
          <w:p w14:paraId="7246D263" w14:textId="77777777" w:rsidR="0078448E" w:rsidRDefault="00DF4D5D">
            <w:pPr>
              <w:pStyle w:val="normal0"/>
              <w:ind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C93BC90" wp14:editId="2AB5B954">
                  <wp:extent cx="2009775" cy="16764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2009775" cy="1676400"/>
                          </a:xfrm>
                          <a:prstGeom prst="rect">
                            <a:avLst/>
                          </a:prstGeom>
                          <a:ln/>
                        </pic:spPr>
                      </pic:pic>
                    </a:graphicData>
                  </a:graphic>
                </wp:inline>
              </w:drawing>
            </w:r>
          </w:p>
          <w:p w14:paraId="22020C63" w14:textId="77777777" w:rsidR="0078448E" w:rsidRDefault="00DF4D5D">
            <w:pPr>
              <w:pStyle w:val="normal0"/>
              <w:ind w:firstLine="90"/>
              <w:rPr>
                <w:rFonts w:ascii="Muli" w:eastAsia="Muli" w:hAnsi="Muli" w:cs="Muli"/>
                <w:b/>
                <w:color w:val="FF126D"/>
                <w:sz w:val="20"/>
                <w:szCs w:val="20"/>
              </w:rPr>
            </w:pPr>
            <w:r>
              <w:rPr>
                <w:rFonts w:ascii="Muli" w:eastAsia="Muli" w:hAnsi="Muli" w:cs="Muli"/>
                <w:b/>
                <w:color w:val="FF126D"/>
                <w:sz w:val="20"/>
                <w:szCs w:val="20"/>
              </w:rPr>
              <w:t>DQ3L4 TE p. 115</w:t>
            </w:r>
          </w:p>
          <w:p w14:paraId="43A20583" w14:textId="77777777" w:rsidR="0078448E" w:rsidRDefault="0078448E">
            <w:pPr>
              <w:pStyle w:val="normal0"/>
              <w:ind w:firstLine="90"/>
              <w:rPr>
                <w:rFonts w:ascii="Muli" w:eastAsia="Muli" w:hAnsi="Muli" w:cs="Muli"/>
                <w:b/>
                <w:color w:val="FF126D"/>
                <w:sz w:val="20"/>
                <w:szCs w:val="20"/>
              </w:rPr>
            </w:pPr>
          </w:p>
          <w:p w14:paraId="39BA3A5F" w14:textId="77777777" w:rsidR="0078448E" w:rsidRDefault="00DF4D5D">
            <w:pPr>
              <w:pStyle w:val="normal0"/>
              <w:ind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8939D44" wp14:editId="7204F3B2">
                  <wp:extent cx="2019300" cy="1600200"/>
                  <wp:effectExtent l="0" t="0" r="0" b="0"/>
                  <wp:docPr id="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2019300" cy="1600200"/>
                          </a:xfrm>
                          <a:prstGeom prst="rect">
                            <a:avLst/>
                          </a:prstGeom>
                          <a:ln/>
                        </pic:spPr>
                      </pic:pic>
                    </a:graphicData>
                  </a:graphic>
                </wp:inline>
              </w:drawing>
            </w:r>
          </w:p>
          <w:p w14:paraId="385E28CD" w14:textId="77777777" w:rsidR="0078448E" w:rsidRDefault="00DF4D5D">
            <w:pPr>
              <w:pStyle w:val="normal0"/>
              <w:ind w:firstLine="90"/>
              <w:rPr>
                <w:rFonts w:ascii="Muli" w:eastAsia="Muli" w:hAnsi="Muli" w:cs="Muli"/>
                <w:b/>
                <w:color w:val="FF126D"/>
                <w:sz w:val="20"/>
                <w:szCs w:val="20"/>
              </w:rPr>
            </w:pPr>
            <w:r>
              <w:rPr>
                <w:rFonts w:ascii="Muli" w:eastAsia="Muli" w:hAnsi="Muli" w:cs="Muli"/>
                <w:b/>
                <w:color w:val="FF126D"/>
                <w:sz w:val="20"/>
                <w:szCs w:val="20"/>
              </w:rPr>
              <w:t>DQ4L4 TE p. 147</w:t>
            </w:r>
          </w:p>
        </w:tc>
      </w:tr>
      <w:tr w:rsidR="0078448E" w14:paraId="2BBAF9C4" w14:textId="77777777">
        <w:trPr>
          <w:trHeight w:val="2920"/>
        </w:trPr>
        <w:tc>
          <w:tcPr>
            <w:tcW w:w="9690" w:type="dxa"/>
          </w:tcPr>
          <w:p w14:paraId="0E5928E3" w14:textId="77777777" w:rsidR="0078448E" w:rsidRDefault="00DF4D5D">
            <w:pPr>
              <w:pStyle w:val="normal0"/>
              <w:numPr>
                <w:ilvl w:val="0"/>
                <w:numId w:val="18"/>
              </w:numPr>
              <w:contextualSpacing/>
              <w:rPr>
                <w:rFonts w:ascii="Muli" w:eastAsia="Muli" w:hAnsi="Muli" w:cs="Muli"/>
                <w:sz w:val="20"/>
                <w:szCs w:val="20"/>
              </w:rPr>
            </w:pPr>
            <w:r>
              <w:rPr>
                <w:rFonts w:ascii="Muli" w:eastAsia="Muli" w:hAnsi="Muli" w:cs="Muli"/>
                <w:sz w:val="20"/>
                <w:szCs w:val="20"/>
              </w:rPr>
              <w:lastRenderedPageBreak/>
              <w:t>Integrated Cultural Connection sidebars offer teachers guidance to engage students of all backgrounds (</w:t>
            </w:r>
            <w:r>
              <w:rPr>
                <w:rFonts w:ascii="Muli" w:eastAsia="Muli" w:hAnsi="Muli" w:cs="Muli"/>
                <w:b/>
                <w:color w:val="FF126D"/>
                <w:sz w:val="20"/>
                <w:szCs w:val="20"/>
              </w:rPr>
              <w:t>DQ1L1 TE p. 8</w:t>
            </w:r>
            <w:r>
              <w:rPr>
                <w:rFonts w:ascii="Muli" w:eastAsia="Muli" w:hAnsi="Muli" w:cs="Muli"/>
                <w:sz w:val="20"/>
                <w:szCs w:val="20"/>
              </w:rPr>
              <w:t>, DQ2L3 TE p. 55, DQ3L3 TE p. 106,</w:t>
            </w:r>
            <w:r>
              <w:rPr>
                <w:rFonts w:ascii="Muli" w:eastAsia="Muli" w:hAnsi="Muli" w:cs="Muli"/>
                <w:color w:val="FF0000"/>
                <w:sz w:val="20"/>
                <w:szCs w:val="20"/>
              </w:rPr>
              <w:t xml:space="preserve"> </w:t>
            </w:r>
            <w:r>
              <w:rPr>
                <w:rFonts w:ascii="Muli" w:eastAsia="Muli" w:hAnsi="Muli" w:cs="Muli"/>
                <w:sz w:val="20"/>
                <w:szCs w:val="20"/>
              </w:rPr>
              <w:t>DQ5L3 TE p. 172).</w:t>
            </w:r>
          </w:p>
        </w:tc>
        <w:tc>
          <w:tcPr>
            <w:tcW w:w="4410" w:type="dxa"/>
          </w:tcPr>
          <w:p w14:paraId="0D823694"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4305E422" wp14:editId="540DB88E">
                  <wp:extent cx="2605088" cy="1538157"/>
                  <wp:effectExtent l="12700" t="12700" r="12700" b="127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605088" cy="1538157"/>
                          </a:xfrm>
                          <a:prstGeom prst="rect">
                            <a:avLst/>
                          </a:prstGeom>
                          <a:ln w="12700">
                            <a:solidFill>
                              <a:srgbClr val="D9D9D9"/>
                            </a:solidFill>
                            <a:prstDash val="solid"/>
                          </a:ln>
                        </pic:spPr>
                      </pic:pic>
                    </a:graphicData>
                  </a:graphic>
                </wp:inline>
              </w:drawing>
            </w:r>
          </w:p>
          <w:p w14:paraId="57748263" w14:textId="77777777" w:rsidR="0078448E" w:rsidRDefault="00DF4D5D">
            <w:pPr>
              <w:pStyle w:val="normal0"/>
              <w:ind w:firstLine="90"/>
              <w:rPr>
                <w:rFonts w:ascii="Muli" w:eastAsia="Muli" w:hAnsi="Muli" w:cs="Muli"/>
                <w:sz w:val="20"/>
                <w:szCs w:val="20"/>
              </w:rPr>
            </w:pPr>
            <w:r>
              <w:rPr>
                <w:rFonts w:ascii="Muli" w:eastAsia="Muli" w:hAnsi="Muli" w:cs="Muli"/>
                <w:b/>
                <w:color w:val="FF126D"/>
                <w:sz w:val="20"/>
                <w:szCs w:val="20"/>
              </w:rPr>
              <w:t>DQ1L1 TE p. 8</w:t>
            </w:r>
          </w:p>
        </w:tc>
      </w:tr>
      <w:tr w:rsidR="0078448E" w14:paraId="7779ADCB" w14:textId="77777777">
        <w:trPr>
          <w:trHeight w:val="9900"/>
        </w:trPr>
        <w:tc>
          <w:tcPr>
            <w:tcW w:w="9690" w:type="dxa"/>
          </w:tcPr>
          <w:p w14:paraId="3F0C99F6" w14:textId="77777777" w:rsidR="0078448E" w:rsidRDefault="00DF4D5D">
            <w:pPr>
              <w:pStyle w:val="normal0"/>
              <w:numPr>
                <w:ilvl w:val="0"/>
                <w:numId w:val="18"/>
              </w:numPr>
              <w:contextualSpacing/>
              <w:rPr>
                <w:rFonts w:ascii="Muli" w:eastAsia="Muli" w:hAnsi="Muli" w:cs="Muli"/>
                <w:sz w:val="20"/>
                <w:szCs w:val="20"/>
              </w:rPr>
            </w:pPr>
            <w:r>
              <w:rPr>
                <w:rFonts w:ascii="Muli" w:eastAsia="Muli" w:hAnsi="Muli" w:cs="Muli"/>
                <w:sz w:val="20"/>
                <w:szCs w:val="20"/>
              </w:rPr>
              <w:lastRenderedPageBreak/>
              <w:t>Integrated Special Needs sidebars offer teachers guidance to support students of all abilities as they participation in class activities and grasp key concepts (</w:t>
            </w:r>
            <w:r>
              <w:rPr>
                <w:rFonts w:ascii="Muli" w:eastAsia="Muli" w:hAnsi="Muli" w:cs="Muli"/>
                <w:b/>
                <w:color w:val="FF126D"/>
                <w:sz w:val="20"/>
                <w:szCs w:val="20"/>
              </w:rPr>
              <w:t>DQ1L2 TE p. 18</w:t>
            </w:r>
            <w:r>
              <w:rPr>
                <w:rFonts w:ascii="Muli" w:eastAsia="Muli" w:hAnsi="Muli" w:cs="Muli"/>
                <w:sz w:val="20"/>
                <w:szCs w:val="20"/>
              </w:rPr>
              <w:t>, DQ2L3 TE p. 56,</w:t>
            </w:r>
            <w:r>
              <w:rPr>
                <w:rFonts w:ascii="Muli" w:eastAsia="Muli" w:hAnsi="Muli" w:cs="Muli"/>
                <w:color w:val="FF0000"/>
                <w:sz w:val="20"/>
                <w:szCs w:val="20"/>
              </w:rPr>
              <w:t xml:space="preserve"> </w:t>
            </w:r>
            <w:r>
              <w:rPr>
                <w:rFonts w:ascii="Muli" w:eastAsia="Muli" w:hAnsi="Muli" w:cs="Muli"/>
                <w:b/>
                <w:color w:val="FF126D"/>
                <w:sz w:val="20"/>
                <w:szCs w:val="20"/>
              </w:rPr>
              <w:t>DQ4L4 TE p. 148</w:t>
            </w:r>
            <w:r>
              <w:rPr>
                <w:rFonts w:ascii="Muli" w:eastAsia="Muli" w:hAnsi="Muli" w:cs="Muli"/>
                <w:sz w:val="20"/>
                <w:szCs w:val="20"/>
              </w:rPr>
              <w:t>).</w:t>
            </w:r>
          </w:p>
        </w:tc>
        <w:tc>
          <w:tcPr>
            <w:tcW w:w="4410" w:type="dxa"/>
          </w:tcPr>
          <w:p w14:paraId="617B5053"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2D6DEF03" wp14:editId="6D770E3E">
                  <wp:extent cx="2141339" cy="3983038"/>
                  <wp:effectExtent l="0" t="0" r="0" b="0"/>
                  <wp:docPr id="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2141339" cy="3983038"/>
                          </a:xfrm>
                          <a:prstGeom prst="rect">
                            <a:avLst/>
                          </a:prstGeom>
                          <a:ln/>
                        </pic:spPr>
                      </pic:pic>
                    </a:graphicData>
                  </a:graphic>
                </wp:inline>
              </w:drawing>
            </w:r>
          </w:p>
          <w:p w14:paraId="52C577D0" w14:textId="77777777" w:rsidR="0078448E" w:rsidRDefault="00DF4D5D">
            <w:pPr>
              <w:pStyle w:val="normal0"/>
              <w:ind w:left="90"/>
              <w:rPr>
                <w:rFonts w:ascii="Muli" w:eastAsia="Muli" w:hAnsi="Muli" w:cs="Muli"/>
                <w:b/>
                <w:color w:val="FF126D"/>
                <w:sz w:val="20"/>
                <w:szCs w:val="20"/>
              </w:rPr>
            </w:pPr>
            <w:r>
              <w:rPr>
                <w:rFonts w:ascii="Muli" w:eastAsia="Muli" w:hAnsi="Muli" w:cs="Muli"/>
                <w:b/>
                <w:color w:val="FF126D"/>
                <w:sz w:val="20"/>
                <w:szCs w:val="20"/>
              </w:rPr>
              <w:t>DQ1L2 TE p. 18</w:t>
            </w:r>
          </w:p>
          <w:p w14:paraId="7C924378" w14:textId="77777777" w:rsidR="0078448E" w:rsidRDefault="0078448E">
            <w:pPr>
              <w:pStyle w:val="normal0"/>
              <w:ind w:left="90"/>
              <w:rPr>
                <w:rFonts w:ascii="Muli" w:eastAsia="Muli" w:hAnsi="Muli" w:cs="Muli"/>
                <w:b/>
                <w:color w:val="FF126D"/>
                <w:sz w:val="20"/>
                <w:szCs w:val="20"/>
              </w:rPr>
            </w:pPr>
          </w:p>
          <w:p w14:paraId="12335BCA" w14:textId="77777777" w:rsidR="0078448E" w:rsidRDefault="00DF4D5D">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B6A5DA8" wp14:editId="0A97B6B3">
                  <wp:extent cx="1552575" cy="168592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552575" cy="1685925"/>
                          </a:xfrm>
                          <a:prstGeom prst="rect">
                            <a:avLst/>
                          </a:prstGeom>
                          <a:ln/>
                        </pic:spPr>
                      </pic:pic>
                    </a:graphicData>
                  </a:graphic>
                </wp:inline>
              </w:drawing>
            </w:r>
          </w:p>
          <w:p w14:paraId="57551E56" w14:textId="77777777" w:rsidR="0078448E" w:rsidRDefault="00DF4D5D">
            <w:pPr>
              <w:pStyle w:val="normal0"/>
              <w:ind w:firstLine="90"/>
              <w:rPr>
                <w:rFonts w:ascii="Muli" w:eastAsia="Muli" w:hAnsi="Muli" w:cs="Muli"/>
                <w:b/>
                <w:color w:val="FF126D"/>
                <w:sz w:val="20"/>
                <w:szCs w:val="20"/>
              </w:rPr>
            </w:pPr>
            <w:r>
              <w:rPr>
                <w:rFonts w:ascii="Muli" w:eastAsia="Muli" w:hAnsi="Muli" w:cs="Muli"/>
                <w:b/>
                <w:color w:val="FF126D"/>
                <w:sz w:val="20"/>
                <w:szCs w:val="20"/>
              </w:rPr>
              <w:t>DQ4L4 TE p. 148</w:t>
            </w:r>
          </w:p>
        </w:tc>
      </w:tr>
      <w:tr w:rsidR="0078448E" w14:paraId="227E9D80" w14:textId="77777777">
        <w:trPr>
          <w:trHeight w:val="4840"/>
        </w:trPr>
        <w:tc>
          <w:tcPr>
            <w:tcW w:w="9690" w:type="dxa"/>
          </w:tcPr>
          <w:p w14:paraId="120D3BCF" w14:textId="77777777" w:rsidR="0078448E" w:rsidRDefault="00DF4D5D">
            <w:pPr>
              <w:pStyle w:val="normal0"/>
              <w:numPr>
                <w:ilvl w:val="0"/>
                <w:numId w:val="18"/>
              </w:numPr>
              <w:contextualSpacing/>
              <w:rPr>
                <w:rFonts w:ascii="Muli" w:eastAsia="Muli" w:hAnsi="Muli" w:cs="Muli"/>
                <w:sz w:val="20"/>
                <w:szCs w:val="20"/>
              </w:rPr>
            </w:pPr>
            <w:r>
              <w:rPr>
                <w:rFonts w:ascii="Muli" w:eastAsia="Muli" w:hAnsi="Muli" w:cs="Muli"/>
                <w:sz w:val="20"/>
                <w:szCs w:val="20"/>
              </w:rPr>
              <w:lastRenderedPageBreak/>
              <w:t xml:space="preserve">Integrated Challenges interspersed throughout the TB support GATE students who have met the learning goals (DQ1L1 TB p. 4, </w:t>
            </w:r>
            <w:r>
              <w:rPr>
                <w:rFonts w:ascii="Muli" w:eastAsia="Muli" w:hAnsi="Muli" w:cs="Muli"/>
                <w:b/>
                <w:color w:val="FF126D"/>
                <w:sz w:val="20"/>
                <w:szCs w:val="20"/>
              </w:rPr>
              <w:t>DQ2L2 TB p. 28</w:t>
            </w:r>
            <w:r>
              <w:rPr>
                <w:rFonts w:ascii="Muli" w:eastAsia="Muli" w:hAnsi="Muli" w:cs="Muli"/>
                <w:sz w:val="20"/>
                <w:szCs w:val="20"/>
              </w:rPr>
              <w:t>, DQ3L2 TB p. 51, DQ5L2 TB p. 103).</w:t>
            </w:r>
          </w:p>
        </w:tc>
        <w:tc>
          <w:tcPr>
            <w:tcW w:w="4410" w:type="dxa"/>
          </w:tcPr>
          <w:p w14:paraId="20BC3FCE" w14:textId="77777777" w:rsidR="0078448E" w:rsidRDefault="00DF4D5D">
            <w:pPr>
              <w:pStyle w:val="normal0"/>
              <w:ind w:left="18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79489B22" wp14:editId="71746AB3">
                  <wp:extent cx="2376488" cy="2717144"/>
                  <wp:effectExtent l="0" t="0" r="0" b="0"/>
                  <wp:docPr id="4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1"/>
                          <a:srcRect/>
                          <a:stretch>
                            <a:fillRect/>
                          </a:stretch>
                        </pic:blipFill>
                        <pic:spPr>
                          <a:xfrm>
                            <a:off x="0" y="0"/>
                            <a:ext cx="2376488" cy="2717144"/>
                          </a:xfrm>
                          <a:prstGeom prst="rect">
                            <a:avLst/>
                          </a:prstGeom>
                          <a:ln/>
                        </pic:spPr>
                      </pic:pic>
                    </a:graphicData>
                  </a:graphic>
                </wp:inline>
              </w:drawing>
            </w:r>
          </w:p>
          <w:p w14:paraId="70E87FE0" w14:textId="77777777" w:rsidR="0078448E" w:rsidRDefault="00DF4D5D">
            <w:pPr>
              <w:pStyle w:val="normal0"/>
              <w:ind w:firstLine="90"/>
              <w:rPr>
                <w:rFonts w:ascii="Muli" w:eastAsia="Muli" w:hAnsi="Muli" w:cs="Muli"/>
                <w:sz w:val="20"/>
                <w:szCs w:val="20"/>
              </w:rPr>
            </w:pPr>
            <w:r>
              <w:rPr>
                <w:rFonts w:ascii="Muli" w:eastAsia="Muli" w:hAnsi="Muli" w:cs="Muli"/>
                <w:b/>
                <w:color w:val="FF126D"/>
                <w:sz w:val="20"/>
                <w:szCs w:val="20"/>
              </w:rPr>
              <w:t>DQ2L2 TB p. 28</w:t>
            </w:r>
          </w:p>
        </w:tc>
      </w:tr>
      <w:tr w:rsidR="0078448E" w14:paraId="0ABC39D3" w14:textId="77777777">
        <w:trPr>
          <w:trHeight w:val="760"/>
        </w:trPr>
        <w:tc>
          <w:tcPr>
            <w:tcW w:w="9690" w:type="dxa"/>
          </w:tcPr>
          <w:p w14:paraId="6E6D0B58" w14:textId="77777777" w:rsidR="0078448E" w:rsidRDefault="00DF4D5D">
            <w:pPr>
              <w:pStyle w:val="normal0"/>
              <w:numPr>
                <w:ilvl w:val="0"/>
                <w:numId w:val="18"/>
              </w:numPr>
              <w:contextualSpacing/>
              <w:rPr>
                <w:rFonts w:ascii="Muli" w:eastAsia="Muli" w:hAnsi="Muli" w:cs="Muli"/>
                <w:sz w:val="20"/>
                <w:szCs w:val="20"/>
              </w:rPr>
            </w:pPr>
            <w:r>
              <w:rPr>
                <w:rFonts w:ascii="Muli" w:eastAsia="Muli" w:hAnsi="Muli" w:cs="Muli"/>
                <w:sz w:val="20"/>
                <w:szCs w:val="20"/>
              </w:rPr>
              <w:t>Videos like Time-Lapse of a Plant (</w:t>
            </w:r>
            <w:r>
              <w:rPr>
                <w:rFonts w:ascii="Muli" w:eastAsia="Muli" w:hAnsi="Muli" w:cs="Muli"/>
                <w:b/>
                <w:color w:val="FF126D"/>
                <w:sz w:val="20"/>
                <w:szCs w:val="20"/>
              </w:rPr>
              <w:t>DQ1L1</w:t>
            </w:r>
            <w:r>
              <w:rPr>
                <w:rFonts w:ascii="Muli" w:eastAsia="Muli" w:hAnsi="Muli" w:cs="Muli"/>
                <w:sz w:val="20"/>
                <w:szCs w:val="20"/>
              </w:rPr>
              <w:t xml:space="preserve">), Butterfly’s Breakfast (DQ2L5), </w:t>
            </w:r>
            <w:proofErr w:type="gramStart"/>
            <w:r>
              <w:rPr>
                <w:rFonts w:ascii="Muli" w:eastAsia="Muli" w:hAnsi="Muli" w:cs="Muli"/>
                <w:sz w:val="20"/>
                <w:szCs w:val="20"/>
              </w:rPr>
              <w:t>Decomposers</w:t>
            </w:r>
            <w:proofErr w:type="gramEnd"/>
            <w:r>
              <w:rPr>
                <w:rFonts w:ascii="Muli" w:eastAsia="Muli" w:hAnsi="Muli" w:cs="Muli"/>
                <w:sz w:val="20"/>
                <w:szCs w:val="20"/>
              </w:rPr>
              <w:t xml:space="preserve">: Breaking it Down (DQ5L2), and Wolves in Yellowstone (DQ6L2) bring phenomena and concepts to life for all students. </w:t>
            </w:r>
          </w:p>
        </w:tc>
        <w:tc>
          <w:tcPr>
            <w:tcW w:w="4410" w:type="dxa"/>
          </w:tcPr>
          <w:p w14:paraId="6859129F" w14:textId="77777777" w:rsidR="0078448E" w:rsidRDefault="00DF4D5D">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1A2E3EE7" wp14:editId="7B2FF0B7">
                  <wp:extent cx="2595563" cy="2055189"/>
                  <wp:effectExtent l="0" t="0" r="0" b="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2595563" cy="2055189"/>
                          </a:xfrm>
                          <a:prstGeom prst="rect">
                            <a:avLst/>
                          </a:prstGeom>
                          <a:ln/>
                        </pic:spPr>
                      </pic:pic>
                    </a:graphicData>
                  </a:graphic>
                </wp:inline>
              </w:drawing>
            </w:r>
          </w:p>
          <w:p w14:paraId="3C2C4E14" w14:textId="77777777" w:rsidR="0078448E" w:rsidRDefault="00DF4D5D">
            <w:pPr>
              <w:pStyle w:val="normal0"/>
              <w:ind w:right="135" w:firstLine="90"/>
              <w:rPr>
                <w:rFonts w:ascii="Muli" w:eastAsia="Muli" w:hAnsi="Muli" w:cs="Muli"/>
                <w:sz w:val="20"/>
                <w:szCs w:val="20"/>
              </w:rPr>
            </w:pPr>
            <w:r>
              <w:rPr>
                <w:rFonts w:ascii="Muli" w:eastAsia="Muli" w:hAnsi="Muli" w:cs="Muli"/>
                <w:b/>
                <w:color w:val="FF126D"/>
                <w:sz w:val="20"/>
                <w:szCs w:val="20"/>
              </w:rPr>
              <w:t>Time-Lapse of a Plant (DQ1L1)</w:t>
            </w:r>
          </w:p>
        </w:tc>
      </w:tr>
    </w:tbl>
    <w:p w14:paraId="7202FDFC" w14:textId="77777777" w:rsidR="0078448E" w:rsidRDefault="0078448E">
      <w:pPr>
        <w:pStyle w:val="normal0"/>
        <w:spacing w:line="276" w:lineRule="auto"/>
        <w:ind w:left="180"/>
        <w:rPr>
          <w:rFonts w:ascii="Muli" w:eastAsia="Muli" w:hAnsi="Muli" w:cs="Muli"/>
          <w:b/>
          <w:color w:val="15A798"/>
          <w:sz w:val="20"/>
          <w:szCs w:val="20"/>
        </w:rPr>
      </w:pPr>
    </w:p>
    <w:p w14:paraId="77D69E6F" w14:textId="77777777" w:rsidR="0078448E" w:rsidRDefault="0078448E">
      <w:pPr>
        <w:pStyle w:val="normal0"/>
        <w:pBdr>
          <w:top w:val="nil"/>
          <w:left w:val="nil"/>
          <w:bottom w:val="nil"/>
          <w:right w:val="nil"/>
          <w:between w:val="nil"/>
        </w:pBdr>
        <w:tabs>
          <w:tab w:val="left" w:pos="1329"/>
          <w:tab w:val="left" w:pos="180"/>
        </w:tabs>
        <w:spacing w:line="268" w:lineRule="auto"/>
        <w:ind w:left="1329"/>
        <w:rPr>
          <w:rFonts w:ascii="Muli" w:eastAsia="Muli" w:hAnsi="Muli" w:cs="Muli"/>
          <w:b/>
          <w:color w:val="15A798"/>
          <w:sz w:val="20"/>
          <w:szCs w:val="20"/>
        </w:rPr>
      </w:pPr>
    </w:p>
    <w:p w14:paraId="7F890C1F" w14:textId="77777777" w:rsidR="0078448E" w:rsidRDefault="0078448E">
      <w:pPr>
        <w:pStyle w:val="normal0"/>
        <w:pBdr>
          <w:top w:val="nil"/>
          <w:left w:val="nil"/>
          <w:bottom w:val="nil"/>
          <w:right w:val="nil"/>
          <w:between w:val="nil"/>
        </w:pBdr>
        <w:spacing w:line="276" w:lineRule="auto"/>
        <w:rPr>
          <w:rFonts w:ascii="Muli" w:eastAsia="Muli" w:hAnsi="Muli" w:cs="Muli"/>
          <w:color w:val="000000"/>
          <w:sz w:val="20"/>
          <w:szCs w:val="20"/>
        </w:rPr>
      </w:pPr>
    </w:p>
    <w:sectPr w:rsidR="0078448E" w:rsidSect="00DF4D5D">
      <w:headerReference w:type="default" r:id="rId42"/>
      <w:footerReference w:type="default" r:id="rId43"/>
      <w:headerReference w:type="first" r:id="rId44"/>
      <w:footerReference w:type="first" r:id="rId45"/>
      <w:pgSz w:w="15840" w:h="12240" w:orient="landscape"/>
      <w:pgMar w:top="560" w:right="640" w:bottom="600" w:left="426" w:header="360" w:footer="443" w:gutter="0"/>
      <w:pgNumType w:start="1"/>
      <w:cols w:space="720" w:equalWidth="0">
        <w:col w:w="15234" w:space="0"/>
      </w:cols>
      <w:titlePg/>
      <w:printerSettings r:id="rId4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549C7" w14:textId="77777777" w:rsidR="00000000" w:rsidRDefault="00DF4D5D">
      <w:r>
        <w:separator/>
      </w:r>
    </w:p>
  </w:endnote>
  <w:endnote w:type="continuationSeparator" w:id="0">
    <w:p w14:paraId="39282B12" w14:textId="77777777" w:rsidR="00000000" w:rsidRDefault="00DF4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111B4" w14:textId="77777777" w:rsidR="0078448E" w:rsidRDefault="0078448E">
    <w:pPr>
      <w:pStyle w:val="normal0"/>
      <w:pBdr>
        <w:top w:val="nil"/>
        <w:left w:val="nil"/>
        <w:bottom w:val="nil"/>
        <w:right w:val="nil"/>
        <w:between w:val="nil"/>
      </w:pBdr>
      <w:rPr>
        <w:color w:val="000000"/>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24305" w14:textId="77777777" w:rsidR="0078448E" w:rsidRDefault="00AB15DC" w:rsidP="00AB15DC">
    <w:pPr>
      <w:pStyle w:val="normal0"/>
      <w:jc w:val="right"/>
    </w:pPr>
    <w:r>
      <w:rPr>
        <w:rStyle w:val="PageNumber"/>
      </w:rPr>
      <w:fldChar w:fldCharType="begin"/>
    </w:r>
    <w:r>
      <w:rPr>
        <w:rStyle w:val="PageNumber"/>
      </w:rPr>
      <w:instrText xml:space="preserve"> PAGE </w:instrText>
    </w:r>
    <w:r>
      <w:rPr>
        <w:rStyle w:val="PageNumber"/>
      </w:rPr>
      <w:fldChar w:fldCharType="separate"/>
    </w:r>
    <w:r w:rsidR="00DF4D5D">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2A3A6" w14:textId="77777777" w:rsidR="00000000" w:rsidRDefault="00DF4D5D">
      <w:r>
        <w:separator/>
      </w:r>
    </w:p>
  </w:footnote>
  <w:footnote w:type="continuationSeparator" w:id="0">
    <w:p w14:paraId="3D643D2F" w14:textId="77777777" w:rsidR="00000000" w:rsidRDefault="00DF4D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8632D" w14:textId="645E6BC5" w:rsidR="00DF4D5D" w:rsidRDefault="00DF4D5D">
    <w:pPr>
      <w:pStyle w:val="Header"/>
    </w:pPr>
    <w:r>
      <w:rPr>
        <w:noProof/>
      </w:rPr>
      <w:drawing>
        <wp:anchor distT="0" distB="0" distL="0" distR="0" simplePos="0" relativeHeight="251660288" behindDoc="0" locked="0" layoutInCell="1" hidden="0" allowOverlap="1" wp14:anchorId="15594347" wp14:editId="1FC510D0">
          <wp:simplePos x="0" y="0"/>
          <wp:positionH relativeFrom="column">
            <wp:posOffset>8001000</wp:posOffset>
          </wp:positionH>
          <wp:positionV relativeFrom="paragraph">
            <wp:posOffset>12700</wp:posOffset>
          </wp:positionV>
          <wp:extent cx="1504950" cy="360045"/>
          <wp:effectExtent l="0" t="0" r="0" b="0"/>
          <wp:wrapTopAndBottom distT="0" dist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83730" w14:textId="77777777" w:rsidR="0078448E" w:rsidRDefault="00DF4D5D">
    <w:pPr>
      <w:pStyle w:val="normal0"/>
    </w:pPr>
    <w:r>
      <w:rPr>
        <w:noProof/>
      </w:rPr>
      <w:drawing>
        <wp:anchor distT="0" distB="0" distL="0" distR="0" simplePos="0" relativeHeight="251658240" behindDoc="0" locked="0" layoutInCell="1" hidden="0" allowOverlap="1" wp14:anchorId="765CB9A0" wp14:editId="5E4A23A3">
          <wp:simplePos x="0" y="0"/>
          <wp:positionH relativeFrom="column">
            <wp:posOffset>-76199</wp:posOffset>
          </wp:positionH>
          <wp:positionV relativeFrom="paragraph">
            <wp:posOffset>-142874</wp:posOffset>
          </wp:positionV>
          <wp:extent cx="9644063" cy="1381724"/>
          <wp:effectExtent l="0" t="0" r="0" b="0"/>
          <wp:wrapSquare wrapText="bothSides" distT="0" distB="0" distL="0" distR="0"/>
          <wp:docPr id="3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9644063" cy="1381724"/>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22EC"/>
    <w:multiLevelType w:val="multilevel"/>
    <w:tmpl w:val="E9005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0048E8"/>
    <w:multiLevelType w:val="multilevel"/>
    <w:tmpl w:val="4E9C5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89E0FB7"/>
    <w:multiLevelType w:val="multilevel"/>
    <w:tmpl w:val="24ECF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E711132"/>
    <w:multiLevelType w:val="multilevel"/>
    <w:tmpl w:val="987EA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E880F93"/>
    <w:multiLevelType w:val="multilevel"/>
    <w:tmpl w:val="75222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44A5C30"/>
    <w:multiLevelType w:val="multilevel"/>
    <w:tmpl w:val="B8145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7E0071D"/>
    <w:multiLevelType w:val="multilevel"/>
    <w:tmpl w:val="4C68B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7EC539C"/>
    <w:multiLevelType w:val="multilevel"/>
    <w:tmpl w:val="9C3AD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86E4F8B"/>
    <w:multiLevelType w:val="multilevel"/>
    <w:tmpl w:val="AA9CC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C893053"/>
    <w:multiLevelType w:val="multilevel"/>
    <w:tmpl w:val="204C555C"/>
    <w:lvl w:ilvl="0">
      <w:start w:val="1"/>
      <w:numFmt w:val="decimal"/>
      <w:lvlText w:val="%1."/>
      <w:lvlJc w:val="left"/>
      <w:pPr>
        <w:ind w:left="1127" w:hanging="360"/>
      </w:pPr>
      <w:rPr>
        <w:rFonts w:ascii="Calibri" w:eastAsia="Calibri" w:hAnsi="Calibri" w:cs="Calibri"/>
        <w:sz w:val="20"/>
        <w:szCs w:val="20"/>
      </w:rPr>
    </w:lvl>
    <w:lvl w:ilvl="1">
      <w:start w:val="1"/>
      <w:numFmt w:val="decimal"/>
      <w:lvlText w:val="%2."/>
      <w:lvlJc w:val="left"/>
      <w:pPr>
        <w:ind w:left="1329" w:hanging="407"/>
      </w:pPr>
      <w:rPr>
        <w:b/>
      </w:rPr>
    </w:lvl>
    <w:lvl w:ilvl="2">
      <w:numFmt w:val="bullet"/>
      <w:lvlText w:val="•"/>
      <w:lvlJc w:val="left"/>
      <w:pPr>
        <w:ind w:left="2804" w:hanging="408"/>
      </w:pPr>
    </w:lvl>
    <w:lvl w:ilvl="3">
      <w:numFmt w:val="bullet"/>
      <w:lvlText w:val="•"/>
      <w:lvlJc w:val="left"/>
      <w:pPr>
        <w:ind w:left="4288" w:hanging="408"/>
      </w:pPr>
    </w:lvl>
    <w:lvl w:ilvl="4">
      <w:numFmt w:val="bullet"/>
      <w:lvlText w:val="•"/>
      <w:lvlJc w:val="left"/>
      <w:pPr>
        <w:ind w:left="5773" w:hanging="408"/>
      </w:pPr>
    </w:lvl>
    <w:lvl w:ilvl="5">
      <w:numFmt w:val="bullet"/>
      <w:lvlText w:val="•"/>
      <w:lvlJc w:val="left"/>
      <w:pPr>
        <w:ind w:left="7257" w:hanging="407"/>
      </w:pPr>
    </w:lvl>
    <w:lvl w:ilvl="6">
      <w:numFmt w:val="bullet"/>
      <w:lvlText w:val="•"/>
      <w:lvlJc w:val="left"/>
      <w:pPr>
        <w:ind w:left="8742" w:hanging="408"/>
      </w:pPr>
    </w:lvl>
    <w:lvl w:ilvl="7">
      <w:numFmt w:val="bullet"/>
      <w:lvlText w:val="•"/>
      <w:lvlJc w:val="left"/>
      <w:pPr>
        <w:ind w:left="10226" w:hanging="408"/>
      </w:pPr>
    </w:lvl>
    <w:lvl w:ilvl="8">
      <w:numFmt w:val="bullet"/>
      <w:lvlText w:val="•"/>
      <w:lvlJc w:val="left"/>
      <w:pPr>
        <w:ind w:left="11711" w:hanging="408"/>
      </w:pPr>
    </w:lvl>
  </w:abstractNum>
  <w:abstractNum w:abstractNumId="10">
    <w:nsid w:val="2D6C4351"/>
    <w:multiLevelType w:val="multilevel"/>
    <w:tmpl w:val="6F069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63E3012"/>
    <w:multiLevelType w:val="multilevel"/>
    <w:tmpl w:val="CABC4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7BD435F"/>
    <w:multiLevelType w:val="multilevel"/>
    <w:tmpl w:val="87EC1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8E16BB6"/>
    <w:multiLevelType w:val="multilevel"/>
    <w:tmpl w:val="D9D69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9EB58D8"/>
    <w:multiLevelType w:val="multilevel"/>
    <w:tmpl w:val="4F585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0864707"/>
    <w:multiLevelType w:val="multilevel"/>
    <w:tmpl w:val="32FA0A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9A235B3"/>
    <w:multiLevelType w:val="multilevel"/>
    <w:tmpl w:val="B6AEE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C907EF3"/>
    <w:multiLevelType w:val="multilevel"/>
    <w:tmpl w:val="02862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4"/>
  </w:num>
  <w:num w:numId="3">
    <w:abstractNumId w:val="9"/>
  </w:num>
  <w:num w:numId="4">
    <w:abstractNumId w:val="3"/>
  </w:num>
  <w:num w:numId="5">
    <w:abstractNumId w:val="8"/>
  </w:num>
  <w:num w:numId="6">
    <w:abstractNumId w:val="1"/>
  </w:num>
  <w:num w:numId="7">
    <w:abstractNumId w:val="0"/>
  </w:num>
  <w:num w:numId="8">
    <w:abstractNumId w:val="12"/>
  </w:num>
  <w:num w:numId="9">
    <w:abstractNumId w:val="11"/>
  </w:num>
  <w:num w:numId="10">
    <w:abstractNumId w:val="6"/>
  </w:num>
  <w:num w:numId="11">
    <w:abstractNumId w:val="2"/>
  </w:num>
  <w:num w:numId="12">
    <w:abstractNumId w:val="5"/>
  </w:num>
  <w:num w:numId="13">
    <w:abstractNumId w:val="7"/>
  </w:num>
  <w:num w:numId="14">
    <w:abstractNumId w:val="15"/>
  </w:num>
  <w:num w:numId="15">
    <w:abstractNumId w:val="16"/>
  </w:num>
  <w:num w:numId="16">
    <w:abstractNumId w:val="14"/>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8448E"/>
    <w:rsid w:val="003375EA"/>
    <w:rsid w:val="0078448E"/>
    <w:rsid w:val="00AB15DC"/>
    <w:rsid w:val="00DF4D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CB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B1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15DC"/>
    <w:rPr>
      <w:rFonts w:ascii="Lucida Grande" w:hAnsi="Lucida Grande" w:cs="Lucida Grande"/>
      <w:sz w:val="18"/>
      <w:szCs w:val="18"/>
    </w:rPr>
  </w:style>
  <w:style w:type="paragraph" w:styleId="Header">
    <w:name w:val="header"/>
    <w:basedOn w:val="Normal"/>
    <w:link w:val="HeaderChar"/>
    <w:uiPriority w:val="99"/>
    <w:unhideWhenUsed/>
    <w:rsid w:val="00AB15DC"/>
    <w:pPr>
      <w:tabs>
        <w:tab w:val="center" w:pos="4320"/>
        <w:tab w:val="right" w:pos="8640"/>
      </w:tabs>
    </w:pPr>
  </w:style>
  <w:style w:type="character" w:customStyle="1" w:styleId="HeaderChar">
    <w:name w:val="Header Char"/>
    <w:basedOn w:val="DefaultParagraphFont"/>
    <w:link w:val="Header"/>
    <w:uiPriority w:val="99"/>
    <w:rsid w:val="00AB15DC"/>
  </w:style>
  <w:style w:type="paragraph" w:styleId="Footer">
    <w:name w:val="footer"/>
    <w:basedOn w:val="Normal"/>
    <w:link w:val="FooterChar"/>
    <w:uiPriority w:val="99"/>
    <w:unhideWhenUsed/>
    <w:rsid w:val="00AB15DC"/>
    <w:pPr>
      <w:tabs>
        <w:tab w:val="center" w:pos="4320"/>
        <w:tab w:val="right" w:pos="8640"/>
      </w:tabs>
    </w:pPr>
  </w:style>
  <w:style w:type="character" w:customStyle="1" w:styleId="FooterChar">
    <w:name w:val="Footer Char"/>
    <w:basedOn w:val="DefaultParagraphFont"/>
    <w:link w:val="Footer"/>
    <w:uiPriority w:val="99"/>
    <w:rsid w:val="00AB15DC"/>
  </w:style>
  <w:style w:type="character" w:styleId="PageNumber">
    <w:name w:val="page number"/>
    <w:basedOn w:val="DefaultParagraphFont"/>
    <w:uiPriority w:val="99"/>
    <w:semiHidden/>
    <w:unhideWhenUsed/>
    <w:rsid w:val="00AB15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B1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15DC"/>
    <w:rPr>
      <w:rFonts w:ascii="Lucida Grande" w:hAnsi="Lucida Grande" w:cs="Lucida Grande"/>
      <w:sz w:val="18"/>
      <w:szCs w:val="18"/>
    </w:rPr>
  </w:style>
  <w:style w:type="paragraph" w:styleId="Header">
    <w:name w:val="header"/>
    <w:basedOn w:val="Normal"/>
    <w:link w:val="HeaderChar"/>
    <w:uiPriority w:val="99"/>
    <w:unhideWhenUsed/>
    <w:rsid w:val="00AB15DC"/>
    <w:pPr>
      <w:tabs>
        <w:tab w:val="center" w:pos="4320"/>
        <w:tab w:val="right" w:pos="8640"/>
      </w:tabs>
    </w:pPr>
  </w:style>
  <w:style w:type="character" w:customStyle="1" w:styleId="HeaderChar">
    <w:name w:val="Header Char"/>
    <w:basedOn w:val="DefaultParagraphFont"/>
    <w:link w:val="Header"/>
    <w:uiPriority w:val="99"/>
    <w:rsid w:val="00AB15DC"/>
  </w:style>
  <w:style w:type="paragraph" w:styleId="Footer">
    <w:name w:val="footer"/>
    <w:basedOn w:val="Normal"/>
    <w:link w:val="FooterChar"/>
    <w:uiPriority w:val="99"/>
    <w:unhideWhenUsed/>
    <w:rsid w:val="00AB15DC"/>
    <w:pPr>
      <w:tabs>
        <w:tab w:val="center" w:pos="4320"/>
        <w:tab w:val="right" w:pos="8640"/>
      </w:tabs>
    </w:pPr>
  </w:style>
  <w:style w:type="character" w:customStyle="1" w:styleId="FooterChar">
    <w:name w:val="Footer Char"/>
    <w:basedOn w:val="DefaultParagraphFont"/>
    <w:link w:val="Footer"/>
    <w:uiPriority w:val="99"/>
    <w:rsid w:val="00AB15DC"/>
  </w:style>
  <w:style w:type="character" w:styleId="PageNumber">
    <w:name w:val="page number"/>
    <w:basedOn w:val="DefaultParagraphFont"/>
    <w:uiPriority w:val="99"/>
    <w:semiHidden/>
    <w:unhideWhenUsed/>
    <w:rsid w:val="00AB1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printerSettings" Target="printerSettings/printerSettings1.bin"/><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header" Target="header2.xml"/><Relationship Id="rId4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4028</Words>
  <Characters>22966</Characters>
  <Application>Microsoft Macintosh Word</Application>
  <DocSecurity>0</DocSecurity>
  <Lines>191</Lines>
  <Paragraphs>53</Paragraphs>
  <ScaleCrop>false</ScaleCrop>
  <Company/>
  <LinksUpToDate>false</LinksUpToDate>
  <CharactersWithSpaces>26941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2018-11-19T16:47:00Z</dcterms:created>
  <dcterms:modified xsi:type="dcterms:W3CDTF">2018-11-19T16:50:00Z</dcterms:modified>
</cp:coreProperties>
</file>