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FB486E" w14:textId="77777777" w:rsidR="00975ED1" w:rsidRDefault="00B81A63">
      <w:pPr>
        <w:pStyle w:val="normal0"/>
        <w:widowControl/>
        <w:rPr>
          <w:rFonts w:ascii="Muli" w:eastAsia="Muli" w:hAnsi="Muli" w:cs="Muli"/>
          <w:b/>
          <w:color w:val="FF126D"/>
          <w:sz w:val="28"/>
          <w:szCs w:val="28"/>
        </w:rPr>
      </w:pPr>
      <w:r>
        <w:rPr>
          <w:rFonts w:ascii="Muli" w:eastAsia="Muli" w:hAnsi="Muli" w:cs="Muli"/>
          <w:b/>
          <w:color w:val="FF126D"/>
          <w:sz w:val="28"/>
          <w:szCs w:val="28"/>
        </w:rPr>
        <w:t>Science Made for the Next Generation</w:t>
      </w:r>
    </w:p>
    <w:p w14:paraId="781687B0" w14:textId="77777777" w:rsidR="00975ED1" w:rsidRDefault="00975ED1">
      <w:pPr>
        <w:pStyle w:val="normal0"/>
        <w:widowControl/>
        <w:rPr>
          <w:rFonts w:ascii="Muli" w:eastAsia="Muli" w:hAnsi="Muli" w:cs="Muli"/>
          <w:color w:val="6AA84F"/>
          <w:sz w:val="24"/>
          <w:szCs w:val="24"/>
        </w:rPr>
      </w:pPr>
    </w:p>
    <w:p w14:paraId="13606214" w14:textId="77777777" w:rsidR="00975ED1" w:rsidRDefault="00B81A63">
      <w:pPr>
        <w:pStyle w:val="normal0"/>
        <w:widowControl/>
        <w:spacing w:line="276" w:lineRule="auto"/>
        <w:rPr>
          <w:rFonts w:ascii="Muli" w:eastAsia="Muli" w:hAnsi="Muli" w:cs="Muli"/>
          <w:sz w:val="24"/>
          <w:szCs w:val="24"/>
        </w:rPr>
      </w:pPr>
      <w:r>
        <w:rPr>
          <w:rFonts w:ascii="Muli" w:eastAsia="Muli" w:hAnsi="Muli" w:cs="Muli"/>
          <w:sz w:val="24"/>
          <w:szCs w:val="24"/>
        </w:rPr>
        <w:t>Twig Science was built from the ground up for the California NGSS by award-winning STEM education specialists.</w:t>
      </w:r>
    </w:p>
    <w:p w14:paraId="739F458C" w14:textId="77777777" w:rsidR="00975ED1" w:rsidRDefault="00B81A63">
      <w:pPr>
        <w:pStyle w:val="normal0"/>
        <w:widowControl/>
        <w:spacing w:line="276" w:lineRule="auto"/>
        <w:rPr>
          <w:rFonts w:ascii="Muli" w:eastAsia="Muli" w:hAnsi="Muli" w:cs="Muli"/>
          <w:sz w:val="24"/>
          <w:szCs w:val="24"/>
        </w:rPr>
      </w:pPr>
      <w:r>
        <w:rPr>
          <w:rFonts w:ascii="Muli" w:eastAsia="Muli" w:hAnsi="Muli" w:cs="Muli"/>
          <w:sz w:val="24"/>
          <w:szCs w:val="24"/>
        </w:rPr>
        <w:t xml:space="preserve">Reviewing our program, you’ll find: </w:t>
      </w:r>
    </w:p>
    <w:p w14:paraId="403BF31C" w14:textId="77777777" w:rsidR="00975ED1" w:rsidRDefault="00975ED1">
      <w:pPr>
        <w:pStyle w:val="normal0"/>
        <w:widowControl/>
        <w:spacing w:line="276" w:lineRule="auto"/>
        <w:rPr>
          <w:rFonts w:ascii="Muli" w:eastAsia="Muli" w:hAnsi="Muli" w:cs="Muli"/>
          <w:sz w:val="24"/>
          <w:szCs w:val="24"/>
        </w:rPr>
      </w:pPr>
    </w:p>
    <w:p w14:paraId="56EA5EB3" w14:textId="77777777" w:rsidR="00975ED1" w:rsidRDefault="00B81A63">
      <w:pPr>
        <w:pStyle w:val="normal0"/>
        <w:widowControl/>
        <w:numPr>
          <w:ilvl w:val="0"/>
          <w:numId w:val="2"/>
        </w:numPr>
        <w:spacing w:line="276" w:lineRule="auto"/>
        <w:contextualSpacing/>
        <w:rPr>
          <w:rFonts w:ascii="Muli" w:eastAsia="Muli" w:hAnsi="Muli" w:cs="Muli"/>
          <w:sz w:val="24"/>
          <w:szCs w:val="24"/>
        </w:rPr>
      </w:pPr>
      <w:r>
        <w:rPr>
          <w:rFonts w:ascii="Muli" w:eastAsia="Muli" w:hAnsi="Muli" w:cs="Muli"/>
          <w:sz w:val="24"/>
          <w:szCs w:val="24"/>
        </w:rPr>
        <w:t>​</w:t>
      </w:r>
      <w:r>
        <w:rPr>
          <w:rFonts w:ascii="Muli" w:eastAsia="Muli" w:hAnsi="Muli" w:cs="Muli"/>
          <w:sz w:val="24"/>
          <w:szCs w:val="24"/>
        </w:rPr>
        <w:t>A clear conceptual flow across the program, clearly set out in the program CA NGSS Framework Alignment</w:t>
      </w:r>
    </w:p>
    <w:p w14:paraId="783FD795" w14:textId="77777777" w:rsidR="00975ED1" w:rsidRDefault="00B81A63">
      <w:pPr>
        <w:pStyle w:val="normal0"/>
        <w:widowControl/>
        <w:numPr>
          <w:ilvl w:val="0"/>
          <w:numId w:val="2"/>
        </w:numPr>
        <w:spacing w:line="276" w:lineRule="auto"/>
        <w:contextualSpacing/>
        <w:rPr>
          <w:rFonts w:ascii="Muli" w:eastAsia="Muli" w:hAnsi="Muli" w:cs="Muli"/>
          <w:sz w:val="24"/>
          <w:szCs w:val="24"/>
        </w:rPr>
      </w:pPr>
      <w:r>
        <w:rPr>
          <w:rFonts w:ascii="Muli" w:eastAsia="Muli" w:hAnsi="Muli" w:cs="Muli"/>
          <w:sz w:val="24"/>
          <w:szCs w:val="24"/>
        </w:rPr>
        <w:t>Modules that bundle different scientific disciplines including engineering and environmental principles and concepts (as defined by the CDE), aligned 1:</w:t>
      </w:r>
      <w:r>
        <w:rPr>
          <w:rFonts w:ascii="Muli" w:eastAsia="Muli" w:hAnsi="Muli" w:cs="Muli"/>
          <w:sz w:val="24"/>
          <w:szCs w:val="24"/>
        </w:rPr>
        <w:t>1 with the segments of the California Framework</w:t>
      </w:r>
    </w:p>
    <w:p w14:paraId="443E782C" w14:textId="77777777" w:rsidR="00975ED1" w:rsidRDefault="00B81A63">
      <w:pPr>
        <w:pStyle w:val="normal0"/>
        <w:widowControl/>
        <w:numPr>
          <w:ilvl w:val="0"/>
          <w:numId w:val="2"/>
        </w:numPr>
        <w:spacing w:line="276" w:lineRule="auto"/>
        <w:contextualSpacing/>
        <w:rPr>
          <w:rFonts w:ascii="Muli" w:eastAsia="Muli" w:hAnsi="Muli" w:cs="Muli"/>
          <w:sz w:val="24"/>
          <w:szCs w:val="24"/>
        </w:rPr>
      </w:pPr>
      <w:r>
        <w:rPr>
          <w:rFonts w:ascii="Muli" w:eastAsia="Muli" w:hAnsi="Muli" w:cs="Muli"/>
          <w:sz w:val="24"/>
          <w:szCs w:val="24"/>
        </w:rPr>
        <w:t>Phenomena and investigative problems at the heart of each module, with Grade Scope and Sequence tables that show how the dimensions flow and build in sophistication across each grade</w:t>
      </w:r>
    </w:p>
    <w:p w14:paraId="2B95125E" w14:textId="77777777" w:rsidR="00975ED1" w:rsidRDefault="00D579D4">
      <w:pPr>
        <w:pStyle w:val="normal0"/>
        <w:widowControl/>
        <w:numPr>
          <w:ilvl w:val="0"/>
          <w:numId w:val="2"/>
        </w:numPr>
        <w:spacing w:line="276" w:lineRule="auto"/>
        <w:contextualSpacing/>
        <w:rPr>
          <w:rFonts w:ascii="Muli" w:eastAsia="Muli" w:hAnsi="Muli" w:cs="Muli"/>
          <w:sz w:val="24"/>
          <w:szCs w:val="24"/>
        </w:rPr>
      </w:pPr>
      <w:r>
        <w:rPr>
          <w:noProof/>
        </w:rPr>
        <w:drawing>
          <wp:anchor distT="114300" distB="114300" distL="114300" distR="114300" simplePos="0" relativeHeight="251658240" behindDoc="0" locked="0" layoutInCell="1" hidden="0" allowOverlap="1" wp14:anchorId="0D44A3D7" wp14:editId="1D4E2654">
            <wp:simplePos x="0" y="0"/>
            <wp:positionH relativeFrom="column">
              <wp:posOffset>7200900</wp:posOffset>
            </wp:positionH>
            <wp:positionV relativeFrom="paragraph">
              <wp:posOffset>430530</wp:posOffset>
            </wp:positionV>
            <wp:extent cx="1965960" cy="2290445"/>
            <wp:effectExtent l="25400" t="25400" r="15240" b="20955"/>
            <wp:wrapSquare wrapText="bothSides" distT="114300" distB="114300" distL="114300" distR="11430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t="303" b="303"/>
                    <a:stretch>
                      <a:fillRect/>
                    </a:stretch>
                  </pic:blipFill>
                  <pic:spPr>
                    <a:xfrm>
                      <a:off x="0" y="0"/>
                      <a:ext cx="1965960" cy="2290445"/>
                    </a:xfrm>
                    <a:prstGeom prst="rect">
                      <a:avLst/>
                    </a:prstGeom>
                    <a:ln w="12700">
                      <a:solidFill>
                        <a:srgbClr val="D9D9D9"/>
                      </a:solidFill>
                      <a:prstDash val="solid"/>
                    </a:ln>
                  </pic:spPr>
                </pic:pic>
              </a:graphicData>
            </a:graphic>
          </wp:anchor>
        </w:drawing>
      </w:r>
      <w:r w:rsidR="00B81A63">
        <w:rPr>
          <w:rFonts w:ascii="Muli" w:eastAsia="Muli" w:hAnsi="Muli" w:cs="Muli"/>
          <w:sz w:val="24"/>
          <w:szCs w:val="24"/>
        </w:rPr>
        <w:t>Module Contents that tell</w:t>
      </w:r>
      <w:r w:rsidR="00B81A63">
        <w:rPr>
          <w:rFonts w:ascii="Muli" w:eastAsia="Muli" w:hAnsi="Muli" w:cs="Muli"/>
          <w:sz w:val="24"/>
          <w:szCs w:val="24"/>
        </w:rPr>
        <w:t xml:space="preserve"> the story of how students apply the three dimensions in a module, with Driving Questions that scaffold their learning journey</w:t>
      </w:r>
    </w:p>
    <w:p w14:paraId="10EE6696" w14:textId="77777777" w:rsidR="00975ED1" w:rsidRDefault="00B81A63">
      <w:pPr>
        <w:pStyle w:val="normal0"/>
        <w:widowControl/>
        <w:numPr>
          <w:ilvl w:val="0"/>
          <w:numId w:val="2"/>
        </w:numPr>
        <w:spacing w:line="276" w:lineRule="auto"/>
        <w:contextualSpacing/>
        <w:rPr>
          <w:rFonts w:ascii="Muli" w:eastAsia="Muli" w:hAnsi="Muli" w:cs="Muli"/>
          <w:sz w:val="24"/>
          <w:szCs w:val="24"/>
        </w:rPr>
      </w:pPr>
      <w:r>
        <w:rPr>
          <w:rFonts w:ascii="Muli" w:eastAsia="Muli" w:hAnsi="Muli" w:cs="Muli"/>
          <w:sz w:val="24"/>
          <w:szCs w:val="24"/>
        </w:rPr>
        <w:t>Three-dimensional lessons and assessments that clearly outline the dimensions applied.</w:t>
      </w:r>
    </w:p>
    <w:p w14:paraId="24E23214" w14:textId="77777777" w:rsidR="00975ED1" w:rsidRDefault="00B81A63">
      <w:pPr>
        <w:pStyle w:val="normal0"/>
        <w:widowControl/>
        <w:spacing w:line="276" w:lineRule="auto"/>
        <w:rPr>
          <w:rFonts w:ascii="Muli" w:eastAsia="Muli" w:hAnsi="Muli" w:cs="Muli"/>
          <w:sz w:val="24"/>
          <w:szCs w:val="24"/>
        </w:rPr>
      </w:pPr>
      <w:r>
        <w:rPr>
          <w:rFonts w:ascii="Muli" w:eastAsia="Muli" w:hAnsi="Muli" w:cs="Muli"/>
          <w:sz w:val="24"/>
          <w:szCs w:val="24"/>
        </w:rPr>
        <w:t>​</w:t>
      </w:r>
    </w:p>
    <w:p w14:paraId="14A7FBD7" w14:textId="77777777" w:rsidR="00975ED1" w:rsidRDefault="00D579D4">
      <w:pPr>
        <w:pStyle w:val="normal0"/>
        <w:widowControl/>
        <w:spacing w:line="276" w:lineRule="auto"/>
        <w:rPr>
          <w:rFonts w:ascii="Muli" w:eastAsia="Muli" w:hAnsi="Muli" w:cs="Muli"/>
          <w:sz w:val="24"/>
          <w:szCs w:val="24"/>
        </w:rPr>
      </w:pPr>
      <w:r>
        <w:rPr>
          <w:noProof/>
        </w:rPr>
        <w:drawing>
          <wp:anchor distT="114300" distB="114300" distL="114300" distR="114300" simplePos="0" relativeHeight="251659264" behindDoc="0" locked="0" layoutInCell="1" hidden="0" allowOverlap="1" wp14:anchorId="5A213955" wp14:editId="47A16365">
            <wp:simplePos x="0" y="0"/>
            <wp:positionH relativeFrom="column">
              <wp:posOffset>4914900</wp:posOffset>
            </wp:positionH>
            <wp:positionV relativeFrom="paragraph">
              <wp:posOffset>177800</wp:posOffset>
            </wp:positionV>
            <wp:extent cx="2105025" cy="1623695"/>
            <wp:effectExtent l="25400" t="25400" r="28575" b="27305"/>
            <wp:wrapSquare wrapText="bothSides" distT="114300" distB="114300" distL="114300" distR="11430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t="37" b="37"/>
                    <a:stretch>
                      <a:fillRect/>
                    </a:stretch>
                  </pic:blipFill>
                  <pic:spPr>
                    <a:xfrm>
                      <a:off x="0" y="0"/>
                      <a:ext cx="2105025" cy="1623695"/>
                    </a:xfrm>
                    <a:prstGeom prst="rect">
                      <a:avLst/>
                    </a:prstGeom>
                    <a:ln w="12700">
                      <a:solidFill>
                        <a:srgbClr val="D9D9D9"/>
                      </a:solidFill>
                      <a:prstDash val="solid"/>
                    </a:ln>
                  </pic:spPr>
                </pic:pic>
              </a:graphicData>
            </a:graphic>
          </wp:anchor>
        </w:drawing>
      </w:r>
      <w:r w:rsidR="00B81A63">
        <w:rPr>
          <w:rFonts w:ascii="Muli" w:eastAsia="Muli" w:hAnsi="Muli" w:cs="Muli"/>
          <w:b/>
          <w:sz w:val="24"/>
          <w:szCs w:val="24"/>
        </w:rPr>
        <w:t>This is why we score so highly on NGSS-</w:t>
      </w:r>
      <w:r w:rsidR="00B81A63">
        <w:rPr>
          <w:rFonts w:ascii="Muli" w:eastAsia="Muli" w:hAnsi="Muli" w:cs="Muli"/>
          <w:b/>
          <w:sz w:val="24"/>
          <w:szCs w:val="24"/>
        </w:rPr>
        <w:t>based rubrics such as NextGen TIME Paper screen evaluation.</w:t>
      </w:r>
    </w:p>
    <w:p w14:paraId="0B752107" w14:textId="77777777" w:rsidR="00975ED1" w:rsidRDefault="00975ED1">
      <w:pPr>
        <w:pStyle w:val="normal0"/>
        <w:widowControl/>
        <w:spacing w:line="276" w:lineRule="auto"/>
        <w:rPr>
          <w:rFonts w:ascii="Muli" w:eastAsia="Muli" w:hAnsi="Muli" w:cs="Muli"/>
          <w:sz w:val="24"/>
          <w:szCs w:val="24"/>
        </w:rPr>
      </w:pPr>
    </w:p>
    <w:p w14:paraId="2780CCAE" w14:textId="77777777" w:rsidR="00975ED1" w:rsidRDefault="00B81A63">
      <w:pPr>
        <w:pStyle w:val="normal0"/>
        <w:pBdr>
          <w:top w:val="nil"/>
          <w:left w:val="nil"/>
          <w:bottom w:val="nil"/>
          <w:right w:val="nil"/>
          <w:between w:val="nil"/>
        </w:pBdr>
        <w:spacing w:line="276" w:lineRule="auto"/>
        <w:rPr>
          <w:rFonts w:ascii="Times New Roman" w:eastAsia="Times New Roman" w:hAnsi="Times New Roman" w:cs="Times New Roman"/>
          <w:sz w:val="26"/>
          <w:szCs w:val="26"/>
        </w:rPr>
      </w:pPr>
      <w:r>
        <w:rPr>
          <w:rFonts w:ascii="Muli" w:eastAsia="Muli" w:hAnsi="Muli" w:cs="Muli"/>
          <w:sz w:val="24"/>
          <w:szCs w:val="24"/>
        </w:rPr>
        <w:t>This rubric has been completed for Kindergarten Module 2 Marble Run Engineers and is designed to highlight where you can find evidence for the Designed for NGSS: Foundations Rubric. The rubric i</w:t>
      </w:r>
      <w:r>
        <w:rPr>
          <w:rFonts w:ascii="Muli" w:eastAsia="Muli" w:hAnsi="Muli" w:cs="Muli"/>
          <w:sz w:val="24"/>
          <w:szCs w:val="24"/>
        </w:rPr>
        <w:t xml:space="preserve">ncludes citations to the printed Teachers Edition and </w:t>
      </w:r>
      <w:r>
        <w:rPr>
          <w:rFonts w:ascii="Muli" w:eastAsia="Muli" w:hAnsi="Muli" w:cs="Muli"/>
          <w:sz w:val="24"/>
          <w:szCs w:val="24"/>
        </w:rPr>
        <w:lastRenderedPageBreak/>
        <w:t>Twig Book (Student Edition).</w:t>
      </w:r>
      <w:r>
        <w:br w:type="page"/>
      </w:r>
    </w:p>
    <w:p w14:paraId="1338FF76" w14:textId="77777777" w:rsidR="00975ED1" w:rsidRDefault="00975ED1">
      <w:pPr>
        <w:pStyle w:val="normal0"/>
        <w:pBdr>
          <w:top w:val="nil"/>
          <w:left w:val="nil"/>
          <w:bottom w:val="nil"/>
          <w:right w:val="nil"/>
          <w:between w:val="nil"/>
        </w:pBdr>
        <w:rPr>
          <w:rFonts w:ascii="Times New Roman" w:eastAsia="Times New Roman" w:hAnsi="Times New Roman" w:cs="Times New Roman"/>
          <w:sz w:val="26"/>
          <w:szCs w:val="26"/>
        </w:rPr>
      </w:pPr>
    </w:p>
    <w:tbl>
      <w:tblPr>
        <w:tblStyle w:val="a"/>
        <w:tblW w:w="1394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100"/>
        <w:gridCol w:w="2614"/>
        <w:gridCol w:w="2616"/>
        <w:gridCol w:w="2616"/>
      </w:tblGrid>
      <w:tr w:rsidR="00975ED1" w14:paraId="2E9E877B" w14:textId="77777777">
        <w:trPr>
          <w:trHeight w:val="720"/>
        </w:trPr>
        <w:tc>
          <w:tcPr>
            <w:tcW w:w="6101" w:type="dxa"/>
            <w:shd w:val="clear" w:color="auto" w:fill="2F5496"/>
          </w:tcPr>
          <w:p w14:paraId="0CAD19F4" w14:textId="77777777" w:rsidR="00975ED1" w:rsidRDefault="00B81A63">
            <w:pPr>
              <w:pStyle w:val="normal0"/>
              <w:spacing w:before="222"/>
              <w:ind w:left="270"/>
              <w:rPr>
                <w:rFonts w:ascii="Muli" w:eastAsia="Muli" w:hAnsi="Muli" w:cs="Muli"/>
                <w:b/>
                <w:color w:val="FFFFFF"/>
                <w:sz w:val="20"/>
                <w:szCs w:val="20"/>
              </w:rPr>
            </w:pPr>
            <w:r>
              <w:rPr>
                <w:rFonts w:ascii="Muli" w:eastAsia="Muli" w:hAnsi="Muli" w:cs="Muli"/>
                <w:b/>
                <w:color w:val="FFFFFF"/>
                <w:sz w:val="20"/>
                <w:szCs w:val="20"/>
              </w:rPr>
              <w:t>Designed for the NGSS: Foundations</w:t>
            </w:r>
          </w:p>
        </w:tc>
        <w:tc>
          <w:tcPr>
            <w:tcW w:w="2614" w:type="dxa"/>
            <w:shd w:val="clear" w:color="auto" w:fill="2F5496"/>
          </w:tcPr>
          <w:p w14:paraId="67C94F13" w14:textId="77777777" w:rsidR="00975ED1" w:rsidRDefault="00B81A63">
            <w:pPr>
              <w:pStyle w:val="normal0"/>
              <w:spacing w:before="100"/>
              <w:ind w:left="90"/>
              <w:rPr>
                <w:rFonts w:ascii="Muli" w:eastAsia="Muli" w:hAnsi="Muli" w:cs="Muli"/>
                <w:b/>
                <w:color w:val="FFFFFF"/>
                <w:sz w:val="20"/>
                <w:szCs w:val="20"/>
              </w:rPr>
            </w:pPr>
            <w:r>
              <w:rPr>
                <w:rFonts w:ascii="Muli" w:eastAsia="Muli" w:hAnsi="Muli" w:cs="Muli"/>
                <w:b/>
                <w:color w:val="FFFFFF"/>
                <w:sz w:val="20"/>
                <w:szCs w:val="20"/>
              </w:rPr>
              <w:t xml:space="preserve">High Quality </w:t>
            </w:r>
          </w:p>
          <w:p w14:paraId="30EB76E7" w14:textId="77777777" w:rsidR="00975ED1" w:rsidRDefault="00B81A63">
            <w:pPr>
              <w:pStyle w:val="normal0"/>
              <w:spacing w:before="100"/>
              <w:ind w:left="90"/>
              <w:rPr>
                <w:rFonts w:ascii="Muli" w:eastAsia="Muli" w:hAnsi="Muli" w:cs="Muli"/>
                <w:b/>
                <w:color w:val="FFFFFF"/>
                <w:sz w:val="20"/>
                <w:szCs w:val="20"/>
              </w:rPr>
            </w:pPr>
            <w:r>
              <w:rPr>
                <w:rFonts w:ascii="Muli" w:eastAsia="Muli" w:hAnsi="Muli" w:cs="Muli"/>
                <w:b/>
                <w:color w:val="FFFFFF"/>
                <w:sz w:val="20"/>
                <w:szCs w:val="20"/>
              </w:rPr>
              <w:t>5</w:t>
            </w:r>
          </w:p>
        </w:tc>
        <w:tc>
          <w:tcPr>
            <w:tcW w:w="2616" w:type="dxa"/>
            <w:shd w:val="clear" w:color="auto" w:fill="2F5496"/>
          </w:tcPr>
          <w:p w14:paraId="543D3E14" w14:textId="77777777" w:rsidR="00975ED1" w:rsidRDefault="00B81A63">
            <w:pPr>
              <w:pStyle w:val="normal0"/>
              <w:spacing w:before="100"/>
              <w:ind w:left="135"/>
              <w:rPr>
                <w:rFonts w:ascii="Muli" w:eastAsia="Muli" w:hAnsi="Muli" w:cs="Muli"/>
                <w:b/>
                <w:color w:val="FFFFFF"/>
                <w:sz w:val="20"/>
                <w:szCs w:val="20"/>
              </w:rPr>
            </w:pPr>
            <w:r>
              <w:rPr>
                <w:rFonts w:ascii="Muli" w:eastAsia="Muli" w:hAnsi="Muli" w:cs="Muli"/>
                <w:b/>
                <w:color w:val="FFFFFF"/>
                <w:sz w:val="20"/>
                <w:szCs w:val="20"/>
              </w:rPr>
              <w:t xml:space="preserve">Medium Quality </w:t>
            </w:r>
          </w:p>
          <w:p w14:paraId="4C836E04" w14:textId="77777777" w:rsidR="00975ED1" w:rsidRDefault="00B81A63">
            <w:pPr>
              <w:pStyle w:val="normal0"/>
              <w:spacing w:before="100"/>
              <w:ind w:left="135"/>
              <w:rPr>
                <w:rFonts w:ascii="Muli" w:eastAsia="Muli" w:hAnsi="Muli" w:cs="Muli"/>
                <w:b/>
                <w:color w:val="FFFFFF"/>
                <w:sz w:val="20"/>
                <w:szCs w:val="20"/>
              </w:rPr>
            </w:pPr>
            <w:r>
              <w:rPr>
                <w:rFonts w:ascii="Muli" w:eastAsia="Muli" w:hAnsi="Muli" w:cs="Muli"/>
                <w:b/>
                <w:color w:val="FFFFFF"/>
                <w:sz w:val="20"/>
                <w:szCs w:val="20"/>
              </w:rPr>
              <w:t>3</w:t>
            </w:r>
          </w:p>
        </w:tc>
        <w:tc>
          <w:tcPr>
            <w:tcW w:w="2616" w:type="dxa"/>
            <w:shd w:val="clear" w:color="auto" w:fill="2F5496"/>
          </w:tcPr>
          <w:p w14:paraId="692066BE" w14:textId="77777777" w:rsidR="00975ED1" w:rsidRDefault="00B81A63">
            <w:pPr>
              <w:pStyle w:val="normal0"/>
              <w:spacing w:before="100"/>
              <w:ind w:left="135"/>
              <w:rPr>
                <w:rFonts w:ascii="Muli" w:eastAsia="Muli" w:hAnsi="Muli" w:cs="Muli"/>
                <w:b/>
                <w:color w:val="FFFFFF"/>
                <w:sz w:val="20"/>
                <w:szCs w:val="20"/>
              </w:rPr>
            </w:pPr>
            <w:r>
              <w:rPr>
                <w:rFonts w:ascii="Muli" w:eastAsia="Muli" w:hAnsi="Muli" w:cs="Muli"/>
                <w:b/>
                <w:color w:val="FFFFFF"/>
                <w:sz w:val="20"/>
                <w:szCs w:val="20"/>
              </w:rPr>
              <w:t xml:space="preserve">Low Quality </w:t>
            </w:r>
          </w:p>
          <w:p w14:paraId="1B127851" w14:textId="77777777" w:rsidR="00975ED1" w:rsidRDefault="00B81A63">
            <w:pPr>
              <w:pStyle w:val="normal0"/>
              <w:spacing w:before="100"/>
              <w:ind w:left="135"/>
              <w:rPr>
                <w:rFonts w:ascii="Muli" w:eastAsia="Muli" w:hAnsi="Muli" w:cs="Muli"/>
                <w:b/>
                <w:color w:val="FFFFFF"/>
                <w:sz w:val="20"/>
                <w:szCs w:val="20"/>
              </w:rPr>
            </w:pPr>
            <w:r>
              <w:rPr>
                <w:rFonts w:ascii="Muli" w:eastAsia="Muli" w:hAnsi="Muli" w:cs="Muli"/>
                <w:b/>
                <w:color w:val="FFFFFF"/>
                <w:sz w:val="20"/>
                <w:szCs w:val="20"/>
              </w:rPr>
              <w:t>1</w:t>
            </w:r>
          </w:p>
        </w:tc>
      </w:tr>
      <w:tr w:rsidR="00975ED1" w14:paraId="2EE32998" w14:textId="77777777">
        <w:trPr>
          <w:trHeight w:val="2320"/>
        </w:trPr>
        <w:tc>
          <w:tcPr>
            <w:tcW w:w="6101" w:type="dxa"/>
            <w:tcMar>
              <w:top w:w="99" w:type="dxa"/>
              <w:left w:w="99" w:type="dxa"/>
              <w:bottom w:w="99" w:type="dxa"/>
              <w:right w:w="99" w:type="dxa"/>
            </w:tcMar>
          </w:tcPr>
          <w:p w14:paraId="12C03B2D" w14:textId="77777777" w:rsidR="00975ED1" w:rsidRDefault="00B81A63">
            <w:pPr>
              <w:pStyle w:val="normal0"/>
              <w:pBdr>
                <w:top w:val="nil"/>
                <w:left w:val="nil"/>
                <w:bottom w:val="nil"/>
                <w:right w:val="nil"/>
                <w:between w:val="nil"/>
              </w:pBdr>
              <w:ind w:left="100" w:right="147"/>
              <w:rPr>
                <w:rFonts w:ascii="Muli" w:eastAsia="Muli" w:hAnsi="Muli" w:cs="Muli"/>
                <w:color w:val="000000"/>
                <w:sz w:val="20"/>
                <w:szCs w:val="20"/>
              </w:rPr>
            </w:pPr>
            <w:r>
              <w:rPr>
                <w:rFonts w:ascii="Muli" w:eastAsia="Muli" w:hAnsi="Muli" w:cs="Muli"/>
                <w:b/>
                <w:color w:val="000000"/>
                <w:sz w:val="20"/>
                <w:szCs w:val="20"/>
              </w:rPr>
              <w:t>F1. Presence of Phenomena/Problem</w:t>
            </w:r>
            <w:r>
              <w:rPr>
                <w:rFonts w:ascii="Muli" w:eastAsia="Muli" w:hAnsi="Muli" w:cs="Muli"/>
                <w:color w:val="000000"/>
                <w:sz w:val="20"/>
                <w:szCs w:val="20"/>
              </w:rPr>
              <w:t xml:space="preserve">. The materials include phenomena/problems that have the </w:t>
            </w:r>
            <w:r>
              <w:rPr>
                <w:rFonts w:ascii="Muli" w:eastAsia="Muli" w:hAnsi="Muli" w:cs="Muli"/>
                <w:b/>
                <w:i/>
                <w:color w:val="000000"/>
                <w:sz w:val="20"/>
                <w:szCs w:val="20"/>
              </w:rPr>
              <w:t xml:space="preserve">potential </w:t>
            </w:r>
            <w:r>
              <w:rPr>
                <w:rFonts w:ascii="Muli" w:eastAsia="Muli" w:hAnsi="Muli" w:cs="Muli"/>
                <w:color w:val="000000"/>
                <w:sz w:val="20"/>
                <w:szCs w:val="20"/>
              </w:rPr>
              <w:t>to drive student learning toward the targeted learning goals in the following ways:</w:t>
            </w:r>
          </w:p>
          <w:p w14:paraId="73AAD761" w14:textId="77777777" w:rsidR="00975ED1" w:rsidRDefault="00B81A63">
            <w:pPr>
              <w:pStyle w:val="normal0"/>
              <w:numPr>
                <w:ilvl w:val="0"/>
                <w:numId w:val="1"/>
              </w:numPr>
              <w:pBdr>
                <w:top w:val="nil"/>
                <w:left w:val="nil"/>
                <w:bottom w:val="nil"/>
                <w:right w:val="nil"/>
                <w:between w:val="nil"/>
              </w:pBdr>
              <w:tabs>
                <w:tab w:val="left" w:pos="445"/>
                <w:tab w:val="left" w:pos="446"/>
              </w:tabs>
              <w:ind w:right="775"/>
              <w:rPr>
                <w:rFonts w:ascii="Muli" w:eastAsia="Muli" w:hAnsi="Muli" w:cs="Muli"/>
                <w:color w:val="000000"/>
              </w:rPr>
            </w:pPr>
            <w:r>
              <w:rPr>
                <w:rFonts w:ascii="Muli" w:eastAsia="Muli" w:hAnsi="Muli" w:cs="Muli"/>
                <w:color w:val="000000"/>
                <w:sz w:val="20"/>
                <w:szCs w:val="20"/>
              </w:rPr>
              <w:t>phenomena/problems in the materials are to be relevant to students;</w:t>
            </w:r>
          </w:p>
          <w:p w14:paraId="7C15A09E" w14:textId="77777777" w:rsidR="00975ED1" w:rsidRDefault="00B81A63">
            <w:pPr>
              <w:pStyle w:val="normal0"/>
              <w:numPr>
                <w:ilvl w:val="0"/>
                <w:numId w:val="1"/>
              </w:numPr>
              <w:pBdr>
                <w:top w:val="nil"/>
                <w:left w:val="nil"/>
                <w:bottom w:val="nil"/>
                <w:right w:val="nil"/>
                <w:between w:val="nil"/>
              </w:pBdr>
              <w:tabs>
                <w:tab w:val="left" w:pos="445"/>
                <w:tab w:val="left" w:pos="446"/>
              </w:tabs>
              <w:rPr>
                <w:rFonts w:ascii="Muli" w:eastAsia="Muli" w:hAnsi="Muli" w:cs="Muli"/>
                <w:color w:val="000000"/>
              </w:rPr>
            </w:pPr>
            <w:r>
              <w:rPr>
                <w:rFonts w:ascii="Muli" w:eastAsia="Muli" w:hAnsi="Muli" w:cs="Muli"/>
                <w:color w:val="000000"/>
                <w:sz w:val="20"/>
                <w:szCs w:val="20"/>
              </w:rPr>
              <w:t>explanations for phenomena connect to</w:t>
            </w:r>
            <w:r>
              <w:rPr>
                <w:rFonts w:ascii="Muli" w:eastAsia="Muli" w:hAnsi="Muli" w:cs="Muli"/>
                <w:color w:val="000000"/>
                <w:sz w:val="20"/>
                <w:szCs w:val="20"/>
              </w:rPr>
              <w:t xml:space="preserve"> the three dimensions; and,</w:t>
            </w:r>
          </w:p>
          <w:p w14:paraId="64BFBB51" w14:textId="77777777" w:rsidR="00975ED1" w:rsidRDefault="00B81A63">
            <w:pPr>
              <w:pStyle w:val="normal0"/>
              <w:numPr>
                <w:ilvl w:val="0"/>
                <w:numId w:val="1"/>
              </w:numPr>
              <w:pBdr>
                <w:top w:val="nil"/>
                <w:left w:val="nil"/>
                <w:bottom w:val="nil"/>
                <w:right w:val="nil"/>
                <w:between w:val="nil"/>
              </w:pBdr>
              <w:tabs>
                <w:tab w:val="left" w:pos="445"/>
                <w:tab w:val="left" w:pos="446"/>
              </w:tabs>
              <w:rPr>
                <w:rFonts w:ascii="Muli" w:eastAsia="Muli" w:hAnsi="Muli" w:cs="Muli"/>
                <w:color w:val="000000"/>
              </w:rPr>
            </w:pPr>
            <w:r>
              <w:rPr>
                <w:rFonts w:ascii="Muli" w:eastAsia="Muli" w:hAnsi="Muli" w:cs="Muli"/>
                <w:color w:val="000000"/>
                <w:sz w:val="20"/>
                <w:szCs w:val="20"/>
              </w:rPr>
              <w:t>solutions to problems connect to the three dimensions.</w:t>
            </w:r>
          </w:p>
        </w:tc>
        <w:tc>
          <w:tcPr>
            <w:tcW w:w="2614" w:type="dxa"/>
            <w:tcMar>
              <w:top w:w="99" w:type="dxa"/>
              <w:left w:w="99" w:type="dxa"/>
              <w:bottom w:w="99" w:type="dxa"/>
              <w:right w:w="99" w:type="dxa"/>
            </w:tcMar>
          </w:tcPr>
          <w:p w14:paraId="2A81FE40" w14:textId="77777777" w:rsidR="00975ED1" w:rsidRDefault="00B81A63">
            <w:pPr>
              <w:pStyle w:val="normal0"/>
              <w:pBdr>
                <w:top w:val="nil"/>
                <w:left w:val="nil"/>
                <w:bottom w:val="nil"/>
                <w:right w:val="nil"/>
                <w:between w:val="nil"/>
              </w:pBdr>
              <w:ind w:left="97" w:right="70"/>
              <w:rPr>
                <w:rFonts w:ascii="Muli" w:eastAsia="Muli" w:hAnsi="Muli" w:cs="Muli"/>
                <w:color w:val="000000"/>
                <w:sz w:val="20"/>
                <w:szCs w:val="20"/>
              </w:rPr>
            </w:pPr>
            <w:r>
              <w:rPr>
                <w:rFonts w:ascii="Muli" w:eastAsia="Muli" w:hAnsi="Muli" w:cs="Muli"/>
                <w:color w:val="000000"/>
                <w:sz w:val="20"/>
                <w:szCs w:val="20"/>
              </w:rPr>
              <w:t xml:space="preserve">The materials include phenomena/problems that have strong </w:t>
            </w:r>
            <w:r>
              <w:rPr>
                <w:rFonts w:ascii="Muli" w:eastAsia="Muli" w:hAnsi="Muli" w:cs="Muli"/>
                <w:i/>
                <w:color w:val="000000"/>
                <w:sz w:val="20"/>
                <w:szCs w:val="20"/>
              </w:rPr>
              <w:t xml:space="preserve">potential </w:t>
            </w:r>
            <w:r>
              <w:rPr>
                <w:rFonts w:ascii="Muli" w:eastAsia="Muli" w:hAnsi="Muli" w:cs="Muli"/>
                <w:color w:val="000000"/>
                <w:sz w:val="20"/>
                <w:szCs w:val="20"/>
              </w:rPr>
              <w:t>to drive student learning toward the targeted learning goals.</w:t>
            </w:r>
          </w:p>
        </w:tc>
        <w:tc>
          <w:tcPr>
            <w:tcW w:w="2616" w:type="dxa"/>
            <w:tcMar>
              <w:top w:w="99" w:type="dxa"/>
              <w:left w:w="99" w:type="dxa"/>
              <w:bottom w:w="99" w:type="dxa"/>
              <w:right w:w="99" w:type="dxa"/>
            </w:tcMar>
          </w:tcPr>
          <w:p w14:paraId="58039F56" w14:textId="77777777" w:rsidR="00975ED1" w:rsidRDefault="00B81A63">
            <w:pPr>
              <w:pStyle w:val="normal0"/>
              <w:pBdr>
                <w:top w:val="nil"/>
                <w:left w:val="nil"/>
                <w:bottom w:val="nil"/>
                <w:right w:val="nil"/>
                <w:between w:val="nil"/>
              </w:pBdr>
              <w:ind w:left="99" w:right="147"/>
              <w:rPr>
                <w:rFonts w:ascii="Muli" w:eastAsia="Muli" w:hAnsi="Muli" w:cs="Muli"/>
                <w:color w:val="000000"/>
                <w:sz w:val="20"/>
                <w:szCs w:val="20"/>
              </w:rPr>
            </w:pPr>
            <w:r>
              <w:rPr>
                <w:rFonts w:ascii="Muli" w:eastAsia="Muli" w:hAnsi="Muli" w:cs="Muli"/>
                <w:color w:val="000000"/>
                <w:sz w:val="20"/>
                <w:szCs w:val="20"/>
              </w:rPr>
              <w:t xml:space="preserve">The materials include phenomena/problems that have some </w:t>
            </w:r>
            <w:r>
              <w:rPr>
                <w:rFonts w:ascii="Muli" w:eastAsia="Muli" w:hAnsi="Muli" w:cs="Muli"/>
                <w:i/>
                <w:color w:val="000000"/>
                <w:sz w:val="20"/>
                <w:szCs w:val="20"/>
              </w:rPr>
              <w:t xml:space="preserve">potential </w:t>
            </w:r>
            <w:r>
              <w:rPr>
                <w:rFonts w:ascii="Muli" w:eastAsia="Muli" w:hAnsi="Muli" w:cs="Muli"/>
                <w:color w:val="000000"/>
                <w:sz w:val="20"/>
                <w:szCs w:val="20"/>
              </w:rPr>
              <w:t>to drive student learning toward the targeted learning goals.</w:t>
            </w:r>
          </w:p>
        </w:tc>
        <w:tc>
          <w:tcPr>
            <w:tcW w:w="2616" w:type="dxa"/>
            <w:tcMar>
              <w:top w:w="99" w:type="dxa"/>
              <w:left w:w="99" w:type="dxa"/>
              <w:bottom w:w="99" w:type="dxa"/>
              <w:right w:w="99" w:type="dxa"/>
            </w:tcMar>
          </w:tcPr>
          <w:p w14:paraId="1E048807" w14:textId="77777777" w:rsidR="00975ED1" w:rsidRDefault="00B81A63">
            <w:pPr>
              <w:pStyle w:val="normal0"/>
              <w:pBdr>
                <w:top w:val="nil"/>
                <w:left w:val="nil"/>
                <w:bottom w:val="nil"/>
                <w:right w:val="nil"/>
                <w:between w:val="nil"/>
              </w:pBdr>
              <w:ind w:left="97" w:right="126"/>
              <w:rPr>
                <w:color w:val="000000"/>
                <w:sz w:val="20"/>
                <w:szCs w:val="20"/>
              </w:rPr>
            </w:pPr>
            <w:r>
              <w:rPr>
                <w:color w:val="000000"/>
                <w:sz w:val="20"/>
                <w:szCs w:val="20"/>
              </w:rPr>
              <w:t xml:space="preserve">The materials include phenomena/problems that have limited </w:t>
            </w:r>
            <w:r>
              <w:rPr>
                <w:i/>
                <w:color w:val="000000"/>
                <w:sz w:val="20"/>
                <w:szCs w:val="20"/>
              </w:rPr>
              <w:t xml:space="preserve">potential </w:t>
            </w:r>
            <w:r>
              <w:rPr>
                <w:color w:val="000000"/>
                <w:sz w:val="20"/>
                <w:szCs w:val="20"/>
              </w:rPr>
              <w:t>to drive student learning toward the targeted learning goal</w:t>
            </w:r>
            <w:r>
              <w:rPr>
                <w:color w:val="000000"/>
                <w:sz w:val="20"/>
                <w:szCs w:val="20"/>
              </w:rPr>
              <w:t>s.</w:t>
            </w:r>
          </w:p>
        </w:tc>
      </w:tr>
      <w:tr w:rsidR="00975ED1" w14:paraId="43B5305A" w14:textId="77777777">
        <w:trPr>
          <w:trHeight w:val="2300"/>
        </w:trPr>
        <w:tc>
          <w:tcPr>
            <w:tcW w:w="6101" w:type="dxa"/>
            <w:tcMar>
              <w:top w:w="99" w:type="dxa"/>
              <w:left w:w="99" w:type="dxa"/>
              <w:bottom w:w="99" w:type="dxa"/>
              <w:right w:w="99" w:type="dxa"/>
            </w:tcMar>
          </w:tcPr>
          <w:p w14:paraId="5BBF76C5" w14:textId="77777777" w:rsidR="00975ED1" w:rsidRDefault="00B81A63">
            <w:pPr>
              <w:pStyle w:val="normal0"/>
              <w:pBdr>
                <w:top w:val="nil"/>
                <w:left w:val="nil"/>
                <w:bottom w:val="nil"/>
                <w:right w:val="nil"/>
                <w:between w:val="nil"/>
              </w:pBdr>
              <w:ind w:left="100" w:right="174"/>
              <w:rPr>
                <w:rFonts w:ascii="Muli" w:eastAsia="Muli" w:hAnsi="Muli" w:cs="Muli"/>
                <w:color w:val="000000"/>
                <w:sz w:val="20"/>
                <w:szCs w:val="20"/>
              </w:rPr>
            </w:pPr>
            <w:r>
              <w:rPr>
                <w:rFonts w:ascii="Muli" w:eastAsia="Muli" w:hAnsi="Muli" w:cs="Muli"/>
                <w:b/>
                <w:color w:val="000000"/>
                <w:sz w:val="20"/>
                <w:szCs w:val="20"/>
              </w:rPr>
              <w:t xml:space="preserve">F2. Presence of Three Dimensions. </w:t>
            </w:r>
            <w:r>
              <w:rPr>
                <w:rFonts w:ascii="Muli" w:eastAsia="Muli" w:hAnsi="Muli" w:cs="Muli"/>
                <w:color w:val="000000"/>
                <w:sz w:val="20"/>
                <w:szCs w:val="20"/>
              </w:rPr>
              <w:t>The materials include opportunities for students to develop and use the three dimensions, such that:</w:t>
            </w:r>
          </w:p>
          <w:p w14:paraId="5B3C5981" w14:textId="77777777" w:rsidR="00975ED1" w:rsidRDefault="00B81A63">
            <w:pPr>
              <w:pStyle w:val="normal0"/>
              <w:numPr>
                <w:ilvl w:val="0"/>
                <w:numId w:val="8"/>
              </w:numPr>
              <w:pBdr>
                <w:top w:val="nil"/>
                <w:left w:val="nil"/>
                <w:bottom w:val="nil"/>
                <w:right w:val="nil"/>
                <w:between w:val="nil"/>
              </w:pBdr>
              <w:tabs>
                <w:tab w:val="left" w:pos="445"/>
                <w:tab w:val="left" w:pos="446"/>
              </w:tabs>
              <w:ind w:right="476"/>
              <w:rPr>
                <w:rFonts w:ascii="Muli" w:eastAsia="Muli" w:hAnsi="Muli" w:cs="Muli"/>
                <w:color w:val="000000"/>
              </w:rPr>
            </w:pPr>
            <w:r>
              <w:rPr>
                <w:rFonts w:ascii="Muli" w:eastAsia="Muli" w:hAnsi="Muli" w:cs="Muli"/>
                <w:color w:val="000000"/>
                <w:sz w:val="20"/>
                <w:szCs w:val="20"/>
              </w:rPr>
              <w:t>the DCIs, SEPs, and CCCs are present and have the potential to support student learning toward the targeted learning goals for each dimension; and,</w:t>
            </w:r>
          </w:p>
          <w:p w14:paraId="35427FF5" w14:textId="77777777" w:rsidR="00975ED1" w:rsidRDefault="00B81A63">
            <w:pPr>
              <w:pStyle w:val="normal0"/>
              <w:numPr>
                <w:ilvl w:val="0"/>
                <w:numId w:val="8"/>
              </w:numPr>
              <w:pBdr>
                <w:top w:val="nil"/>
                <w:left w:val="nil"/>
                <w:bottom w:val="nil"/>
                <w:right w:val="nil"/>
                <w:between w:val="nil"/>
              </w:pBdr>
              <w:tabs>
                <w:tab w:val="left" w:pos="445"/>
                <w:tab w:val="left" w:pos="446"/>
              </w:tabs>
              <w:ind w:right="425"/>
              <w:rPr>
                <w:rFonts w:ascii="Muli" w:eastAsia="Muli" w:hAnsi="Muli" w:cs="Muli"/>
                <w:color w:val="000000"/>
              </w:rPr>
            </w:pPr>
            <w:r>
              <w:rPr>
                <w:rFonts w:ascii="Muli" w:eastAsia="Muli" w:hAnsi="Muli" w:cs="Muli"/>
                <w:color w:val="000000"/>
                <w:sz w:val="20"/>
                <w:szCs w:val="20"/>
              </w:rPr>
              <w:t>when engineering design is a learning focus, it is integrated with other appropriate dimensions (i.e., engineering is not isolated).</w:t>
            </w:r>
          </w:p>
        </w:tc>
        <w:tc>
          <w:tcPr>
            <w:tcW w:w="2614" w:type="dxa"/>
            <w:tcMar>
              <w:top w:w="99" w:type="dxa"/>
              <w:left w:w="99" w:type="dxa"/>
              <w:bottom w:w="99" w:type="dxa"/>
              <w:right w:w="99" w:type="dxa"/>
            </w:tcMar>
          </w:tcPr>
          <w:p w14:paraId="5333A887" w14:textId="77777777" w:rsidR="00975ED1" w:rsidRDefault="00B81A63">
            <w:pPr>
              <w:pStyle w:val="normal0"/>
              <w:pBdr>
                <w:top w:val="nil"/>
                <w:left w:val="nil"/>
                <w:bottom w:val="nil"/>
                <w:right w:val="nil"/>
                <w:between w:val="nil"/>
              </w:pBdr>
              <w:ind w:left="97" w:right="178"/>
              <w:rPr>
                <w:rFonts w:ascii="Muli" w:eastAsia="Muli" w:hAnsi="Muli" w:cs="Muli"/>
                <w:color w:val="000000"/>
                <w:sz w:val="20"/>
                <w:szCs w:val="20"/>
              </w:rPr>
            </w:pPr>
            <w:r>
              <w:rPr>
                <w:rFonts w:ascii="Muli" w:eastAsia="Muli" w:hAnsi="Muli" w:cs="Muli"/>
                <w:color w:val="000000"/>
                <w:sz w:val="20"/>
                <w:szCs w:val="20"/>
              </w:rPr>
              <w:t>The materials consistently provide opportunities for students to develop and use the three dimensions.</w:t>
            </w:r>
          </w:p>
        </w:tc>
        <w:tc>
          <w:tcPr>
            <w:tcW w:w="2616" w:type="dxa"/>
            <w:tcMar>
              <w:top w:w="99" w:type="dxa"/>
              <w:left w:w="99" w:type="dxa"/>
              <w:bottom w:w="99" w:type="dxa"/>
              <w:right w:w="99" w:type="dxa"/>
            </w:tcMar>
          </w:tcPr>
          <w:p w14:paraId="7FD52AAA" w14:textId="77777777" w:rsidR="00975ED1" w:rsidRDefault="00B81A63">
            <w:pPr>
              <w:pStyle w:val="normal0"/>
              <w:pBdr>
                <w:top w:val="nil"/>
                <w:left w:val="nil"/>
                <w:bottom w:val="nil"/>
                <w:right w:val="nil"/>
                <w:between w:val="nil"/>
              </w:pBdr>
              <w:ind w:left="99" w:right="178"/>
              <w:rPr>
                <w:rFonts w:ascii="Muli" w:eastAsia="Muli" w:hAnsi="Muli" w:cs="Muli"/>
                <w:color w:val="000000"/>
                <w:sz w:val="20"/>
                <w:szCs w:val="20"/>
              </w:rPr>
            </w:pPr>
            <w:r>
              <w:rPr>
                <w:rFonts w:ascii="Muli" w:eastAsia="Muli" w:hAnsi="Muli" w:cs="Muli"/>
                <w:color w:val="000000"/>
                <w:sz w:val="20"/>
                <w:szCs w:val="20"/>
              </w:rPr>
              <w:t>The materials occasi</w:t>
            </w:r>
            <w:r>
              <w:rPr>
                <w:rFonts w:ascii="Muli" w:eastAsia="Muli" w:hAnsi="Muli" w:cs="Muli"/>
                <w:color w:val="000000"/>
                <w:sz w:val="20"/>
                <w:szCs w:val="20"/>
              </w:rPr>
              <w:t>onally provide opportunities for students to develop and use the three dimensions.</w:t>
            </w:r>
          </w:p>
        </w:tc>
        <w:tc>
          <w:tcPr>
            <w:tcW w:w="2616" w:type="dxa"/>
            <w:tcMar>
              <w:top w:w="99" w:type="dxa"/>
              <w:left w:w="99" w:type="dxa"/>
              <w:bottom w:w="99" w:type="dxa"/>
              <w:right w:w="99" w:type="dxa"/>
            </w:tcMar>
          </w:tcPr>
          <w:p w14:paraId="2FD2C3FB" w14:textId="77777777" w:rsidR="00975ED1" w:rsidRDefault="00B81A63">
            <w:pPr>
              <w:pStyle w:val="normal0"/>
              <w:pBdr>
                <w:top w:val="nil"/>
                <w:left w:val="nil"/>
                <w:bottom w:val="nil"/>
                <w:right w:val="nil"/>
                <w:between w:val="nil"/>
              </w:pBdr>
              <w:ind w:left="97" w:right="145"/>
              <w:rPr>
                <w:rFonts w:ascii="Muli" w:eastAsia="Muli" w:hAnsi="Muli" w:cs="Muli"/>
                <w:color w:val="000000"/>
                <w:sz w:val="20"/>
                <w:szCs w:val="20"/>
              </w:rPr>
            </w:pPr>
            <w:r>
              <w:rPr>
                <w:rFonts w:ascii="Muli" w:eastAsia="Muli" w:hAnsi="Muli" w:cs="Muli"/>
                <w:color w:val="000000"/>
                <w:sz w:val="20"/>
                <w:szCs w:val="20"/>
              </w:rPr>
              <w:t>The materials rarely provide opportunities for students to use the three dimensions.</w:t>
            </w:r>
          </w:p>
        </w:tc>
      </w:tr>
      <w:tr w:rsidR="00975ED1" w14:paraId="03D5420B" w14:textId="77777777">
        <w:trPr>
          <w:trHeight w:val="2560"/>
        </w:trPr>
        <w:tc>
          <w:tcPr>
            <w:tcW w:w="6101" w:type="dxa"/>
            <w:tcMar>
              <w:top w:w="99" w:type="dxa"/>
              <w:left w:w="99" w:type="dxa"/>
              <w:bottom w:w="99" w:type="dxa"/>
              <w:right w:w="99" w:type="dxa"/>
            </w:tcMar>
          </w:tcPr>
          <w:p w14:paraId="190CC111" w14:textId="77777777" w:rsidR="00975ED1" w:rsidRDefault="00B81A63">
            <w:pPr>
              <w:pStyle w:val="normal0"/>
              <w:pBdr>
                <w:top w:val="nil"/>
                <w:left w:val="nil"/>
                <w:bottom w:val="nil"/>
                <w:right w:val="nil"/>
                <w:between w:val="nil"/>
              </w:pBdr>
              <w:ind w:left="100" w:right="268"/>
              <w:rPr>
                <w:rFonts w:ascii="Muli" w:eastAsia="Muli" w:hAnsi="Muli" w:cs="Muli"/>
                <w:color w:val="000000"/>
                <w:sz w:val="20"/>
                <w:szCs w:val="20"/>
              </w:rPr>
            </w:pPr>
            <w:r>
              <w:rPr>
                <w:rFonts w:ascii="Muli" w:eastAsia="Muli" w:hAnsi="Muli" w:cs="Muli"/>
                <w:b/>
                <w:color w:val="000000"/>
                <w:sz w:val="20"/>
                <w:szCs w:val="20"/>
              </w:rPr>
              <w:t xml:space="preserve">F3. Presence of Logical Sequence. </w:t>
            </w:r>
            <w:r>
              <w:rPr>
                <w:rFonts w:ascii="Muli" w:eastAsia="Muli" w:hAnsi="Muli" w:cs="Muli"/>
                <w:color w:val="000000"/>
                <w:sz w:val="20"/>
                <w:szCs w:val="20"/>
              </w:rPr>
              <w:t>Materials demonstrate appropriate sequencing of three dimensions when:</w:t>
            </w:r>
          </w:p>
          <w:p w14:paraId="195770E3" w14:textId="77777777" w:rsidR="00975ED1" w:rsidRDefault="00B81A63">
            <w:pPr>
              <w:pStyle w:val="normal0"/>
              <w:numPr>
                <w:ilvl w:val="0"/>
                <w:numId w:val="7"/>
              </w:numPr>
              <w:pBdr>
                <w:top w:val="nil"/>
                <w:left w:val="nil"/>
                <w:bottom w:val="nil"/>
                <w:right w:val="nil"/>
                <w:between w:val="nil"/>
              </w:pBdr>
              <w:tabs>
                <w:tab w:val="left" w:pos="445"/>
                <w:tab w:val="left" w:pos="446"/>
              </w:tabs>
              <w:ind w:right="839"/>
              <w:rPr>
                <w:rFonts w:ascii="Muli" w:eastAsia="Muli" w:hAnsi="Muli" w:cs="Muli"/>
                <w:color w:val="000000"/>
              </w:rPr>
            </w:pPr>
            <w:r>
              <w:rPr>
                <w:rFonts w:ascii="Muli" w:eastAsia="Muli" w:hAnsi="Muli" w:cs="Muli"/>
                <w:color w:val="000000"/>
                <w:sz w:val="20"/>
                <w:szCs w:val="20"/>
              </w:rPr>
              <w:t>they include a targeted set of DCIs, SEPs, and CCCs within a sequence;</w:t>
            </w:r>
          </w:p>
          <w:p w14:paraId="4A92616C" w14:textId="77777777" w:rsidR="00975ED1" w:rsidRDefault="00B81A63">
            <w:pPr>
              <w:pStyle w:val="normal0"/>
              <w:numPr>
                <w:ilvl w:val="0"/>
                <w:numId w:val="7"/>
              </w:numPr>
              <w:pBdr>
                <w:top w:val="nil"/>
                <w:left w:val="nil"/>
                <w:bottom w:val="nil"/>
                <w:right w:val="nil"/>
                <w:between w:val="nil"/>
              </w:pBdr>
              <w:tabs>
                <w:tab w:val="left" w:pos="445"/>
                <w:tab w:val="left" w:pos="446"/>
              </w:tabs>
              <w:rPr>
                <w:rFonts w:ascii="Muli" w:eastAsia="Muli" w:hAnsi="Muli" w:cs="Muli"/>
                <w:color w:val="000000"/>
              </w:rPr>
            </w:pPr>
            <w:r>
              <w:rPr>
                <w:rFonts w:ascii="Muli" w:eastAsia="Muli" w:hAnsi="Muli" w:cs="Muli"/>
                <w:color w:val="000000"/>
                <w:sz w:val="20"/>
                <w:szCs w:val="20"/>
              </w:rPr>
              <w:t>the sequence is clear and logical across the DCIs; and,</w:t>
            </w:r>
          </w:p>
          <w:p w14:paraId="6CB04579" w14:textId="77777777" w:rsidR="00975ED1" w:rsidRDefault="00B81A63">
            <w:pPr>
              <w:pStyle w:val="normal0"/>
              <w:numPr>
                <w:ilvl w:val="0"/>
                <w:numId w:val="7"/>
              </w:numPr>
              <w:pBdr>
                <w:top w:val="nil"/>
                <w:left w:val="nil"/>
                <w:bottom w:val="nil"/>
                <w:right w:val="nil"/>
                <w:between w:val="nil"/>
              </w:pBdr>
              <w:tabs>
                <w:tab w:val="left" w:pos="445"/>
                <w:tab w:val="left" w:pos="446"/>
              </w:tabs>
              <w:ind w:right="481"/>
              <w:rPr>
                <w:rFonts w:ascii="Muli" w:eastAsia="Muli" w:hAnsi="Muli" w:cs="Muli"/>
                <w:color w:val="000000"/>
              </w:rPr>
            </w:pPr>
            <w:r>
              <w:rPr>
                <w:rFonts w:ascii="Muli" w:eastAsia="Muli" w:hAnsi="Muli" w:cs="Muli"/>
                <w:color w:val="000000"/>
                <w:sz w:val="20"/>
                <w:szCs w:val="20"/>
              </w:rPr>
              <w:t>the SEPs and CCCs are potentially sufficient and appropriate for students to figure out the phenomena or problems.</w:t>
            </w:r>
          </w:p>
        </w:tc>
        <w:tc>
          <w:tcPr>
            <w:tcW w:w="2614" w:type="dxa"/>
            <w:tcMar>
              <w:top w:w="99" w:type="dxa"/>
              <w:left w:w="99" w:type="dxa"/>
              <w:bottom w:w="99" w:type="dxa"/>
              <w:right w:w="99" w:type="dxa"/>
            </w:tcMar>
          </w:tcPr>
          <w:p w14:paraId="4166199C" w14:textId="77777777" w:rsidR="00975ED1" w:rsidRDefault="00B81A63">
            <w:pPr>
              <w:pStyle w:val="normal0"/>
              <w:pBdr>
                <w:top w:val="nil"/>
                <w:left w:val="nil"/>
                <w:bottom w:val="nil"/>
                <w:right w:val="nil"/>
                <w:between w:val="nil"/>
              </w:pBdr>
              <w:ind w:left="97" w:right="133"/>
              <w:rPr>
                <w:rFonts w:ascii="Muli" w:eastAsia="Muli" w:hAnsi="Muli" w:cs="Muli"/>
                <w:color w:val="000000"/>
                <w:sz w:val="20"/>
                <w:szCs w:val="20"/>
              </w:rPr>
            </w:pPr>
            <w:r>
              <w:rPr>
                <w:rFonts w:ascii="Muli" w:eastAsia="Muli" w:hAnsi="Muli" w:cs="Muli"/>
                <w:color w:val="000000"/>
                <w:sz w:val="20"/>
                <w:szCs w:val="20"/>
              </w:rPr>
              <w:t>The materials consistently exhibit a clear, logical, and appropriate sequence across the three dimensions.</w:t>
            </w:r>
          </w:p>
        </w:tc>
        <w:tc>
          <w:tcPr>
            <w:tcW w:w="2616" w:type="dxa"/>
            <w:tcMar>
              <w:top w:w="99" w:type="dxa"/>
              <w:left w:w="99" w:type="dxa"/>
              <w:bottom w:w="99" w:type="dxa"/>
              <w:right w:w="99" w:type="dxa"/>
            </w:tcMar>
          </w:tcPr>
          <w:p w14:paraId="04F149D2" w14:textId="77777777" w:rsidR="00975ED1" w:rsidRDefault="00B81A63">
            <w:pPr>
              <w:pStyle w:val="normal0"/>
              <w:pBdr>
                <w:top w:val="nil"/>
                <w:left w:val="nil"/>
                <w:bottom w:val="nil"/>
                <w:right w:val="nil"/>
                <w:between w:val="nil"/>
              </w:pBdr>
              <w:ind w:left="99" w:right="133"/>
              <w:rPr>
                <w:rFonts w:ascii="Muli" w:eastAsia="Muli" w:hAnsi="Muli" w:cs="Muli"/>
                <w:color w:val="000000"/>
                <w:sz w:val="20"/>
                <w:szCs w:val="20"/>
              </w:rPr>
            </w:pPr>
            <w:r>
              <w:rPr>
                <w:rFonts w:ascii="Muli" w:eastAsia="Muli" w:hAnsi="Muli" w:cs="Muli"/>
                <w:color w:val="000000"/>
                <w:sz w:val="20"/>
                <w:szCs w:val="20"/>
              </w:rPr>
              <w:t>The materials occasionally exhibit a clear, logical, and appropriate sequence across the three dimensions.</w:t>
            </w:r>
          </w:p>
        </w:tc>
        <w:tc>
          <w:tcPr>
            <w:tcW w:w="2616" w:type="dxa"/>
            <w:tcMar>
              <w:top w:w="99" w:type="dxa"/>
              <w:left w:w="99" w:type="dxa"/>
              <w:bottom w:w="99" w:type="dxa"/>
              <w:right w:w="99" w:type="dxa"/>
            </w:tcMar>
          </w:tcPr>
          <w:p w14:paraId="37A9B017" w14:textId="77777777" w:rsidR="00975ED1" w:rsidRDefault="00B81A63">
            <w:pPr>
              <w:pStyle w:val="normal0"/>
              <w:pBdr>
                <w:top w:val="nil"/>
                <w:left w:val="nil"/>
                <w:bottom w:val="nil"/>
                <w:right w:val="nil"/>
                <w:between w:val="nil"/>
              </w:pBdr>
              <w:ind w:left="97" w:right="125"/>
              <w:rPr>
                <w:rFonts w:ascii="Muli" w:eastAsia="Muli" w:hAnsi="Muli" w:cs="Muli"/>
                <w:color w:val="000000"/>
                <w:sz w:val="20"/>
                <w:szCs w:val="20"/>
              </w:rPr>
            </w:pPr>
            <w:r>
              <w:rPr>
                <w:rFonts w:ascii="Muli" w:eastAsia="Muli" w:hAnsi="Muli" w:cs="Muli"/>
                <w:color w:val="000000"/>
                <w:sz w:val="20"/>
                <w:szCs w:val="20"/>
              </w:rPr>
              <w:t>The materials rarely exhibit a clear, logical, and</w:t>
            </w:r>
            <w:r>
              <w:rPr>
                <w:rFonts w:ascii="Muli" w:eastAsia="Muli" w:hAnsi="Muli" w:cs="Muli"/>
                <w:sz w:val="20"/>
                <w:szCs w:val="20"/>
              </w:rPr>
              <w:t xml:space="preserve"> </w:t>
            </w:r>
            <w:r>
              <w:rPr>
                <w:rFonts w:ascii="Muli" w:eastAsia="Muli" w:hAnsi="Muli" w:cs="Muli"/>
                <w:color w:val="000000"/>
                <w:sz w:val="20"/>
                <w:szCs w:val="20"/>
              </w:rPr>
              <w:t>appropriate sequence across the three dimensions.</w:t>
            </w:r>
          </w:p>
        </w:tc>
      </w:tr>
    </w:tbl>
    <w:p w14:paraId="275351C0" w14:textId="77777777" w:rsidR="00D579D4" w:rsidRDefault="00D579D4">
      <w:pPr>
        <w:pStyle w:val="normal0"/>
        <w:spacing w:before="147"/>
        <w:rPr>
          <w:rFonts w:ascii="Muli" w:eastAsia="Muli" w:hAnsi="Muli" w:cs="Muli"/>
          <w:b/>
          <w:color w:val="FF126D"/>
          <w:sz w:val="28"/>
          <w:szCs w:val="28"/>
        </w:rPr>
      </w:pPr>
    </w:p>
    <w:p w14:paraId="4273FD9B" w14:textId="77777777" w:rsidR="00975ED1" w:rsidRDefault="00B81A63">
      <w:pPr>
        <w:pStyle w:val="normal0"/>
        <w:spacing w:before="147"/>
        <w:rPr>
          <w:rFonts w:ascii="Muli" w:eastAsia="Muli" w:hAnsi="Muli" w:cs="Muli"/>
          <w:b/>
          <w:color w:val="2F5496"/>
          <w:sz w:val="28"/>
          <w:szCs w:val="28"/>
        </w:rPr>
      </w:pPr>
      <w:bookmarkStart w:id="0" w:name="_GoBack"/>
      <w:bookmarkEnd w:id="0"/>
      <w:r>
        <w:rPr>
          <w:rFonts w:ascii="Muli" w:eastAsia="Muli" w:hAnsi="Muli" w:cs="Muli"/>
          <w:b/>
          <w:color w:val="FF126D"/>
          <w:sz w:val="28"/>
          <w:szCs w:val="28"/>
        </w:rPr>
        <w:lastRenderedPageBreak/>
        <w:t>Designed for NGSS: Foundations Rubric</w:t>
      </w:r>
    </w:p>
    <w:p w14:paraId="76D4E864" w14:textId="77777777" w:rsidR="00975ED1" w:rsidRDefault="00B81A63">
      <w:pPr>
        <w:pStyle w:val="normal0"/>
        <w:spacing w:before="147"/>
        <w:rPr>
          <w:rFonts w:ascii="Muli" w:eastAsia="Muli" w:hAnsi="Muli" w:cs="Muli"/>
          <w:b/>
          <w:sz w:val="20"/>
          <w:szCs w:val="20"/>
        </w:rPr>
      </w:pPr>
      <w:r>
        <w:rPr>
          <w:rFonts w:ascii="Muli" w:eastAsia="Muli" w:hAnsi="Muli" w:cs="Muli"/>
          <w:b/>
          <w:sz w:val="20"/>
          <w:szCs w:val="20"/>
        </w:rPr>
        <w:t>Analyze Evidence</w:t>
      </w:r>
    </w:p>
    <w:p w14:paraId="60E4304C" w14:textId="77777777" w:rsidR="00975ED1" w:rsidRDefault="00B81A63">
      <w:pPr>
        <w:pStyle w:val="normal0"/>
        <w:spacing w:before="147"/>
        <w:rPr>
          <w:rFonts w:ascii="Muli" w:eastAsia="Muli" w:hAnsi="Muli" w:cs="Muli"/>
          <w:b/>
          <w:color w:val="FF126D"/>
          <w:sz w:val="28"/>
          <w:szCs w:val="28"/>
        </w:rPr>
      </w:pPr>
      <w:r>
        <w:rPr>
          <w:rFonts w:ascii="Muli" w:eastAsia="Muli" w:hAnsi="Muli" w:cs="Muli"/>
          <w:b/>
          <w:sz w:val="20"/>
          <w:szCs w:val="20"/>
        </w:rPr>
        <w:t>Directions:</w:t>
      </w:r>
    </w:p>
    <w:p w14:paraId="2D1DCA13" w14:textId="77777777" w:rsidR="00975ED1" w:rsidRDefault="00B81A63">
      <w:pPr>
        <w:pStyle w:val="normal0"/>
        <w:numPr>
          <w:ilvl w:val="0"/>
          <w:numId w:val="6"/>
        </w:numPr>
        <w:tabs>
          <w:tab w:val="left" w:pos="1393"/>
          <w:tab w:val="left" w:pos="1394"/>
        </w:tabs>
        <w:spacing w:before="157" w:line="242" w:lineRule="auto"/>
        <w:rPr>
          <w:rFonts w:ascii="Muli" w:eastAsia="Muli" w:hAnsi="Muli" w:cs="Muli"/>
        </w:rPr>
      </w:pPr>
      <w:r>
        <w:rPr>
          <w:rFonts w:ascii="Muli" w:eastAsia="Muli" w:hAnsi="Muli" w:cs="Muli"/>
          <w:sz w:val="20"/>
          <w:szCs w:val="20"/>
        </w:rPr>
        <w:t>Review the Designed for NGSS: Foundations Rubric.</w:t>
      </w:r>
    </w:p>
    <w:p w14:paraId="6ADDF50B" w14:textId="77777777" w:rsidR="00975ED1" w:rsidRDefault="00B81A63">
      <w:pPr>
        <w:pStyle w:val="normal0"/>
        <w:numPr>
          <w:ilvl w:val="0"/>
          <w:numId w:val="6"/>
        </w:numPr>
        <w:tabs>
          <w:tab w:val="left" w:pos="1393"/>
          <w:tab w:val="left" w:pos="1394"/>
        </w:tabs>
        <w:spacing w:line="242" w:lineRule="auto"/>
        <w:rPr>
          <w:rFonts w:ascii="Muli" w:eastAsia="Muli" w:hAnsi="Muli" w:cs="Muli"/>
        </w:rPr>
      </w:pPr>
      <w:r>
        <w:rPr>
          <w:rFonts w:ascii="Muli" w:eastAsia="Muli" w:hAnsi="Muli" w:cs="Muli"/>
          <w:sz w:val="20"/>
          <w:szCs w:val="20"/>
        </w:rPr>
        <w:t>Reflect on the evidence (or lack of evidence) that you and your team gathered and represented.</w:t>
      </w:r>
    </w:p>
    <w:p w14:paraId="600EA566" w14:textId="77777777" w:rsidR="00975ED1" w:rsidRDefault="00B81A63">
      <w:pPr>
        <w:pStyle w:val="normal0"/>
        <w:numPr>
          <w:ilvl w:val="0"/>
          <w:numId w:val="6"/>
        </w:numPr>
        <w:tabs>
          <w:tab w:val="left" w:pos="1393"/>
          <w:tab w:val="left" w:pos="1394"/>
        </w:tabs>
        <w:spacing w:before="1"/>
        <w:rPr>
          <w:rFonts w:ascii="Muli" w:eastAsia="Muli" w:hAnsi="Muli" w:cs="Muli"/>
        </w:rPr>
      </w:pPr>
      <w:r>
        <w:rPr>
          <w:rFonts w:ascii="Muli" w:eastAsia="Muli" w:hAnsi="Muli" w:cs="Muli"/>
          <w:sz w:val="20"/>
          <w:szCs w:val="20"/>
        </w:rPr>
        <w:t>Record strengths and limitations for each criterion based on your evidence. Cite s</w:t>
      </w:r>
      <w:r>
        <w:rPr>
          <w:rFonts w:ascii="Muli" w:eastAsia="Muli" w:hAnsi="Muli" w:cs="Muli"/>
          <w:sz w:val="20"/>
          <w:szCs w:val="20"/>
        </w:rPr>
        <w:t>pecific examples.</w:t>
      </w:r>
    </w:p>
    <w:p w14:paraId="2CEC2461" w14:textId="77777777" w:rsidR="00975ED1" w:rsidRDefault="00975ED1">
      <w:pPr>
        <w:pStyle w:val="normal0"/>
        <w:pBdr>
          <w:top w:val="nil"/>
          <w:left w:val="nil"/>
          <w:bottom w:val="nil"/>
          <w:right w:val="nil"/>
          <w:between w:val="nil"/>
        </w:pBdr>
        <w:rPr>
          <w:color w:val="000000"/>
          <w:sz w:val="9"/>
          <w:szCs w:val="9"/>
        </w:rPr>
      </w:pPr>
    </w:p>
    <w:tbl>
      <w:tblPr>
        <w:tblStyle w:val="a0"/>
        <w:tblW w:w="14010" w:type="dxa"/>
        <w:tblInd w:w="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345"/>
        <w:gridCol w:w="4665"/>
      </w:tblGrid>
      <w:tr w:rsidR="00975ED1" w14:paraId="7B3E3C9E" w14:textId="77777777">
        <w:trPr>
          <w:trHeight w:val="480"/>
        </w:trPr>
        <w:tc>
          <w:tcPr>
            <w:tcW w:w="14010" w:type="dxa"/>
            <w:gridSpan w:val="2"/>
            <w:shd w:val="clear" w:color="auto" w:fill="FF126D"/>
            <w:tcMar>
              <w:top w:w="99" w:type="dxa"/>
              <w:left w:w="99" w:type="dxa"/>
              <w:bottom w:w="99" w:type="dxa"/>
              <w:right w:w="99" w:type="dxa"/>
            </w:tcMar>
            <w:vAlign w:val="center"/>
          </w:tcPr>
          <w:p w14:paraId="7A3C6D69" w14:textId="77777777" w:rsidR="00975ED1" w:rsidRDefault="00B81A63">
            <w:pPr>
              <w:pStyle w:val="normal0"/>
              <w:ind w:left="90" w:right="85"/>
              <w:rPr>
                <w:rFonts w:ascii="Muli" w:eastAsia="Muli" w:hAnsi="Muli" w:cs="Muli"/>
                <w:b/>
                <w:color w:val="FFFFFF"/>
                <w:sz w:val="20"/>
                <w:szCs w:val="20"/>
              </w:rPr>
            </w:pPr>
            <w:r>
              <w:rPr>
                <w:rFonts w:ascii="Muli" w:eastAsia="Muli" w:hAnsi="Muli" w:cs="Muli"/>
                <w:b/>
                <w:color w:val="FFFFFF"/>
                <w:sz w:val="20"/>
                <w:szCs w:val="20"/>
              </w:rPr>
              <w:t>Strengths</w:t>
            </w:r>
          </w:p>
        </w:tc>
      </w:tr>
      <w:tr w:rsidR="00975ED1" w14:paraId="626DA4C7" w14:textId="77777777">
        <w:trPr>
          <w:trHeight w:val="440"/>
        </w:trPr>
        <w:tc>
          <w:tcPr>
            <w:tcW w:w="14010" w:type="dxa"/>
            <w:gridSpan w:val="2"/>
            <w:shd w:val="clear" w:color="auto" w:fill="CCCCCC"/>
            <w:tcMar>
              <w:top w:w="99" w:type="dxa"/>
              <w:left w:w="99" w:type="dxa"/>
              <w:bottom w:w="99" w:type="dxa"/>
              <w:right w:w="99" w:type="dxa"/>
            </w:tcMar>
            <w:vAlign w:val="center"/>
          </w:tcPr>
          <w:p w14:paraId="1DA873C2" w14:textId="77777777" w:rsidR="00975ED1" w:rsidRDefault="00B81A63">
            <w:pPr>
              <w:pStyle w:val="normal0"/>
              <w:ind w:left="90" w:right="725"/>
              <w:rPr>
                <w:rFonts w:ascii="Muli" w:eastAsia="Muli" w:hAnsi="Muli" w:cs="Muli"/>
                <w:b/>
                <w:color w:val="FFFFFF"/>
                <w:sz w:val="20"/>
                <w:szCs w:val="20"/>
              </w:rPr>
            </w:pPr>
            <w:r>
              <w:rPr>
                <w:rFonts w:ascii="Muli" w:eastAsia="Muli" w:hAnsi="Muli" w:cs="Muli"/>
                <w:b/>
                <w:sz w:val="18"/>
                <w:szCs w:val="18"/>
              </w:rPr>
              <w:t>F1. Presence of Phenomena /Problems</w:t>
            </w:r>
          </w:p>
        </w:tc>
      </w:tr>
      <w:tr w:rsidR="00975ED1" w14:paraId="0E573CD9" w14:textId="77777777">
        <w:trPr>
          <w:trHeight w:val="1040"/>
        </w:trPr>
        <w:tc>
          <w:tcPr>
            <w:tcW w:w="14010" w:type="dxa"/>
            <w:gridSpan w:val="2"/>
            <w:tcBorders>
              <w:bottom w:val="single" w:sz="6" w:space="0" w:color="000000"/>
            </w:tcBorders>
            <w:shd w:val="clear" w:color="auto" w:fill="F3F3F3"/>
            <w:tcMar>
              <w:top w:w="99" w:type="dxa"/>
              <w:left w:w="99" w:type="dxa"/>
              <w:bottom w:w="99" w:type="dxa"/>
              <w:right w:w="99" w:type="dxa"/>
            </w:tcMar>
            <w:vAlign w:val="center"/>
          </w:tcPr>
          <w:p w14:paraId="23575530" w14:textId="77777777" w:rsidR="00975ED1" w:rsidRDefault="00B81A63">
            <w:pPr>
              <w:pStyle w:val="normal0"/>
              <w:ind w:left="90"/>
              <w:rPr>
                <w:rFonts w:ascii="Muli" w:eastAsia="Muli" w:hAnsi="Muli" w:cs="Muli"/>
                <w:b/>
                <w:color w:val="2F5496"/>
                <w:sz w:val="20"/>
                <w:szCs w:val="20"/>
              </w:rPr>
            </w:pPr>
            <w:r>
              <w:rPr>
                <w:rFonts w:ascii="Muli" w:eastAsia="Muli" w:hAnsi="Muli" w:cs="Muli"/>
                <w:b/>
                <w:color w:val="2F5496"/>
                <w:sz w:val="20"/>
                <w:szCs w:val="20"/>
              </w:rPr>
              <w:t>The materials are High Quality 5 with regards to F1.</w:t>
            </w:r>
          </w:p>
          <w:p w14:paraId="686BE5AE" w14:textId="77777777" w:rsidR="00975ED1" w:rsidRDefault="00B81A63">
            <w:pPr>
              <w:pStyle w:val="normal0"/>
              <w:ind w:left="90"/>
              <w:rPr>
                <w:rFonts w:ascii="Muli" w:eastAsia="Muli" w:hAnsi="Muli" w:cs="Muli"/>
                <w:b/>
                <w:sz w:val="18"/>
                <w:szCs w:val="18"/>
              </w:rPr>
            </w:pPr>
            <w:r>
              <w:rPr>
                <w:rFonts w:ascii="Muli" w:eastAsia="Muli" w:hAnsi="Muli" w:cs="Muli"/>
                <w:sz w:val="20"/>
                <w:szCs w:val="20"/>
              </w:rPr>
              <w:t>There is high quality evidence of phenomenon and problems that with a strong potential to drive student learning towards targeted goal. The phenomena/problems are very relevant to students, explanations for phenomena connect to the three dimensions, and so</w:t>
            </w:r>
            <w:r>
              <w:rPr>
                <w:rFonts w:ascii="Muli" w:eastAsia="Muli" w:hAnsi="Muli" w:cs="Muli"/>
                <w:sz w:val="20"/>
                <w:szCs w:val="20"/>
              </w:rPr>
              <w:t>lutions to problems connect to the three dimensions.</w:t>
            </w:r>
          </w:p>
        </w:tc>
      </w:tr>
      <w:tr w:rsidR="00975ED1" w14:paraId="4E87A14A" w14:textId="77777777" w:rsidTr="00D579D4">
        <w:trPr>
          <w:trHeight w:val="4990"/>
        </w:trPr>
        <w:tc>
          <w:tcPr>
            <w:tcW w:w="14010" w:type="dxa"/>
            <w:gridSpan w:val="2"/>
            <w:tcBorders>
              <w:left w:val="single" w:sz="6" w:space="0" w:color="000000"/>
            </w:tcBorders>
            <w:tcMar>
              <w:top w:w="99" w:type="dxa"/>
              <w:left w:w="99" w:type="dxa"/>
              <w:bottom w:w="99" w:type="dxa"/>
              <w:right w:w="99" w:type="dxa"/>
            </w:tcMar>
          </w:tcPr>
          <w:p w14:paraId="43C6153E" w14:textId="77777777" w:rsidR="00975ED1" w:rsidRDefault="00B81A63">
            <w:pPr>
              <w:pStyle w:val="normal0"/>
              <w:pBdr>
                <w:top w:val="nil"/>
                <w:left w:val="nil"/>
                <w:bottom w:val="nil"/>
                <w:right w:val="nil"/>
                <w:between w:val="nil"/>
              </w:pBdr>
              <w:ind w:right="120"/>
              <w:rPr>
                <w:b/>
                <w:color w:val="FF126D"/>
                <w:sz w:val="20"/>
                <w:szCs w:val="20"/>
              </w:rPr>
            </w:pPr>
            <w:r>
              <w:rPr>
                <w:rFonts w:ascii="Muli" w:eastAsia="Muli" w:hAnsi="Muli" w:cs="Muli"/>
                <w:b/>
                <w:color w:val="FF126D"/>
                <w:sz w:val="20"/>
                <w:szCs w:val="20"/>
              </w:rPr>
              <w:t>Evidence</w:t>
            </w:r>
          </w:p>
          <w:p w14:paraId="2129BF25" w14:textId="77777777" w:rsidR="00975ED1" w:rsidRDefault="00B81A63">
            <w:pPr>
              <w:pStyle w:val="normal0"/>
              <w:ind w:right="120"/>
              <w:rPr>
                <w:rFonts w:ascii="Muli" w:eastAsia="Muli" w:hAnsi="Muli" w:cs="Muli"/>
                <w:sz w:val="20"/>
                <w:szCs w:val="20"/>
              </w:rPr>
            </w:pPr>
            <w:r>
              <w:rPr>
                <w:rFonts w:ascii="Muli" w:eastAsia="Muli" w:hAnsi="Muli" w:cs="Muli"/>
                <w:sz w:val="20"/>
                <w:szCs w:val="20"/>
              </w:rPr>
              <w:t>Kindergarten Module 2: Marble Run Engineer</w:t>
            </w:r>
          </w:p>
          <w:p w14:paraId="5996BD31" w14:textId="77777777" w:rsidR="00975ED1" w:rsidRDefault="00B81A63">
            <w:pPr>
              <w:pStyle w:val="normal0"/>
              <w:ind w:right="120"/>
              <w:rPr>
                <w:rFonts w:ascii="Muli" w:eastAsia="Muli" w:hAnsi="Muli" w:cs="Muli"/>
                <w:sz w:val="20"/>
                <w:szCs w:val="20"/>
              </w:rPr>
            </w:pPr>
            <w:r>
              <w:rPr>
                <w:rFonts w:ascii="Muli" w:eastAsia="Muli" w:hAnsi="Muli" w:cs="Muli"/>
                <w:sz w:val="20"/>
                <w:szCs w:val="20"/>
              </w:rPr>
              <w:t>Module Phenomenon: What happens when we push, pull, and drop objects? How can we change their speed and direction?</w:t>
            </w:r>
          </w:p>
          <w:p w14:paraId="06E4D6F9" w14:textId="77777777" w:rsidR="00975ED1" w:rsidRDefault="00975ED1">
            <w:pPr>
              <w:pStyle w:val="normal0"/>
              <w:rPr>
                <w:rFonts w:ascii="Muli" w:eastAsia="Muli" w:hAnsi="Muli" w:cs="Muli"/>
                <w:sz w:val="20"/>
                <w:szCs w:val="20"/>
              </w:rPr>
            </w:pPr>
          </w:p>
          <w:p w14:paraId="1417BD97" w14:textId="77777777" w:rsidR="00975ED1" w:rsidRDefault="00B81A63">
            <w:pPr>
              <w:pStyle w:val="normal0"/>
              <w:rPr>
                <w:rFonts w:ascii="Muli" w:eastAsia="Muli" w:hAnsi="Muli" w:cs="Muli"/>
                <w:sz w:val="20"/>
                <w:szCs w:val="20"/>
              </w:rPr>
            </w:pPr>
            <w:r>
              <w:rPr>
                <w:rFonts w:ascii="Muli" w:eastAsia="Muli" w:hAnsi="Muli" w:cs="Muli"/>
                <w:sz w:val="20"/>
                <w:szCs w:val="20"/>
              </w:rPr>
              <w:t xml:space="preserve">Students tackle the problem in stages by following a sequence of Driving Questions (DQs) that drive a conceptual flow.  </w:t>
            </w:r>
          </w:p>
          <w:p w14:paraId="6DD106FF" w14:textId="77777777" w:rsidR="00975ED1" w:rsidRDefault="00975ED1">
            <w:pPr>
              <w:pStyle w:val="normal0"/>
              <w:rPr>
                <w:rFonts w:ascii="Muli" w:eastAsia="Muli" w:hAnsi="Muli" w:cs="Muli"/>
                <w:sz w:val="20"/>
                <w:szCs w:val="20"/>
              </w:rPr>
            </w:pPr>
          </w:p>
          <w:p w14:paraId="070646DF" w14:textId="77777777" w:rsidR="00975ED1" w:rsidRDefault="00B81A63">
            <w:pPr>
              <w:pStyle w:val="normal0"/>
              <w:numPr>
                <w:ilvl w:val="0"/>
                <w:numId w:val="4"/>
              </w:numPr>
              <w:contextualSpacing/>
              <w:rPr>
                <w:rFonts w:ascii="Muli" w:eastAsia="Muli" w:hAnsi="Muli" w:cs="Muli"/>
                <w:sz w:val="20"/>
                <w:szCs w:val="20"/>
              </w:rPr>
            </w:pPr>
            <w:r>
              <w:rPr>
                <w:rFonts w:ascii="Muli" w:eastAsia="Muli" w:hAnsi="Muli" w:cs="Muli"/>
                <w:sz w:val="20"/>
                <w:szCs w:val="20"/>
              </w:rPr>
              <w:t>DQ1: How can we make an object move faster or move in a different direction?</w:t>
            </w:r>
          </w:p>
          <w:p w14:paraId="16D99196" w14:textId="77777777" w:rsidR="00975ED1" w:rsidRDefault="00B81A63">
            <w:pPr>
              <w:pStyle w:val="normal0"/>
              <w:numPr>
                <w:ilvl w:val="0"/>
                <w:numId w:val="4"/>
              </w:numPr>
              <w:contextualSpacing/>
              <w:rPr>
                <w:rFonts w:ascii="Muli" w:eastAsia="Muli" w:hAnsi="Muli" w:cs="Muli"/>
                <w:sz w:val="20"/>
                <w:szCs w:val="20"/>
              </w:rPr>
            </w:pPr>
            <w:r>
              <w:rPr>
                <w:rFonts w:ascii="Muli" w:eastAsia="Muli" w:hAnsi="Muli" w:cs="Muli"/>
                <w:sz w:val="20"/>
                <w:szCs w:val="20"/>
              </w:rPr>
              <w:t>DQ2: How can we get marbles where we want them?</w:t>
            </w:r>
          </w:p>
          <w:p w14:paraId="33B2E04A" w14:textId="77777777" w:rsidR="00975ED1" w:rsidRDefault="00B81A63">
            <w:pPr>
              <w:pStyle w:val="normal0"/>
              <w:numPr>
                <w:ilvl w:val="0"/>
                <w:numId w:val="4"/>
              </w:numPr>
              <w:contextualSpacing/>
              <w:rPr>
                <w:rFonts w:ascii="Muli" w:eastAsia="Muli" w:hAnsi="Muli" w:cs="Muli"/>
                <w:sz w:val="20"/>
                <w:szCs w:val="20"/>
              </w:rPr>
            </w:pPr>
            <w:r>
              <w:rPr>
                <w:rFonts w:ascii="Muli" w:eastAsia="Muli" w:hAnsi="Muli" w:cs="Muli"/>
                <w:sz w:val="20"/>
                <w:szCs w:val="20"/>
              </w:rPr>
              <w:t xml:space="preserve">DQ3: How </w:t>
            </w:r>
            <w:r>
              <w:rPr>
                <w:rFonts w:ascii="Muli" w:eastAsia="Muli" w:hAnsi="Muli" w:cs="Muli"/>
                <w:sz w:val="20"/>
                <w:szCs w:val="20"/>
              </w:rPr>
              <w:t>do we understand and design a marble run?</w:t>
            </w:r>
          </w:p>
          <w:p w14:paraId="70534495" w14:textId="77777777" w:rsidR="00975ED1" w:rsidRDefault="00975ED1">
            <w:pPr>
              <w:pStyle w:val="normal0"/>
              <w:ind w:right="120"/>
              <w:rPr>
                <w:rFonts w:ascii="Muli" w:eastAsia="Muli" w:hAnsi="Muli" w:cs="Muli"/>
                <w:sz w:val="20"/>
                <w:szCs w:val="20"/>
              </w:rPr>
            </w:pPr>
          </w:p>
          <w:p w14:paraId="457AEFD4" w14:textId="77777777" w:rsidR="00975ED1" w:rsidRDefault="00B81A63">
            <w:pPr>
              <w:pStyle w:val="normal0"/>
              <w:rPr>
                <w:rFonts w:ascii="Muli" w:eastAsia="Muli" w:hAnsi="Muli" w:cs="Muli"/>
                <w:sz w:val="20"/>
                <w:szCs w:val="20"/>
              </w:rPr>
            </w:pPr>
            <w:r>
              <w:rPr>
                <w:rFonts w:ascii="Muli" w:eastAsia="Muli" w:hAnsi="Muli" w:cs="Muli"/>
                <w:sz w:val="20"/>
                <w:szCs w:val="20"/>
              </w:rPr>
              <w:t>Over the course of all three DQs, students investigate a series of phenomena/problems, which progressively build in complexity, scaffolding students' acquisition of the necessary DCIs, SEPs, and CCCs until they ar</w:t>
            </w:r>
            <w:r>
              <w:rPr>
                <w:rFonts w:ascii="Muli" w:eastAsia="Muli" w:hAnsi="Muli" w:cs="Muli"/>
                <w:sz w:val="20"/>
                <w:szCs w:val="20"/>
              </w:rPr>
              <w:t>e able to address the central problem.</w:t>
            </w:r>
          </w:p>
          <w:p w14:paraId="184F80D8" w14:textId="77777777" w:rsidR="00975ED1" w:rsidRDefault="00975ED1">
            <w:pPr>
              <w:pStyle w:val="normal0"/>
              <w:rPr>
                <w:rFonts w:ascii="Muli" w:eastAsia="Muli" w:hAnsi="Muli" w:cs="Muli"/>
                <w:sz w:val="20"/>
                <w:szCs w:val="20"/>
              </w:rPr>
            </w:pPr>
          </w:p>
          <w:p w14:paraId="3D0E965E" w14:textId="77777777" w:rsidR="00975ED1" w:rsidRDefault="00B81A63">
            <w:pPr>
              <w:pStyle w:val="normal0"/>
              <w:ind w:right="30"/>
              <w:rPr>
                <w:rFonts w:ascii="Muli" w:eastAsia="Muli" w:hAnsi="Muli" w:cs="Muli"/>
                <w:sz w:val="20"/>
                <w:szCs w:val="20"/>
              </w:rPr>
            </w:pPr>
            <w:r>
              <w:rPr>
                <w:rFonts w:ascii="Muli" w:eastAsia="Muli" w:hAnsi="Muli" w:cs="Muli"/>
                <w:sz w:val="20"/>
                <w:szCs w:val="20"/>
              </w:rPr>
              <w:t>For example, in DQ1, students explore forces by observing and analyzing what happens when they push and pull different objects. Then, in DQ2, they investigate how they can use tools to alter and control the direction</w:t>
            </w:r>
            <w:r>
              <w:rPr>
                <w:rFonts w:ascii="Muli" w:eastAsia="Muli" w:hAnsi="Muli" w:cs="Muli"/>
                <w:sz w:val="20"/>
                <w:szCs w:val="20"/>
              </w:rPr>
              <w:t xml:space="preserve"> of a marble. In DQ3, students apply their learning by designing, building, testing, and revising marble runs.</w:t>
            </w:r>
          </w:p>
          <w:p w14:paraId="73AB5AF4" w14:textId="77777777" w:rsidR="00975ED1" w:rsidRDefault="00975ED1">
            <w:pPr>
              <w:pStyle w:val="normal0"/>
              <w:ind w:right="30"/>
              <w:rPr>
                <w:rFonts w:ascii="Muli" w:eastAsia="Muli" w:hAnsi="Muli" w:cs="Muli"/>
                <w:sz w:val="20"/>
                <w:szCs w:val="20"/>
              </w:rPr>
            </w:pPr>
          </w:p>
          <w:p w14:paraId="0FCD356F" w14:textId="77777777" w:rsidR="00975ED1" w:rsidRDefault="00B81A63">
            <w:pPr>
              <w:pStyle w:val="normal0"/>
              <w:ind w:right="30"/>
              <w:rPr>
                <w:sz w:val="16"/>
                <w:szCs w:val="16"/>
              </w:rPr>
            </w:pPr>
            <w:r>
              <w:rPr>
                <w:rFonts w:ascii="Muli" w:eastAsia="Muli" w:hAnsi="Muli" w:cs="Muli"/>
                <w:sz w:val="20"/>
                <w:szCs w:val="20"/>
              </w:rPr>
              <w:t xml:space="preserve">By the end of DQ3, students have figured out the answer to the Module Phenomenon. They understand what happens when objects are pushed, pulled, </w:t>
            </w:r>
            <w:r>
              <w:rPr>
                <w:rFonts w:ascii="Muli" w:eastAsia="Muli" w:hAnsi="Muli" w:cs="Muli"/>
                <w:sz w:val="20"/>
                <w:szCs w:val="20"/>
              </w:rPr>
              <w:t>and dropped, and they have learned ways of changing an object’s speed and direction of motion.</w:t>
            </w:r>
          </w:p>
        </w:tc>
      </w:tr>
      <w:tr w:rsidR="00975ED1" w14:paraId="6B143585" w14:textId="77777777">
        <w:trPr>
          <w:trHeight w:val="280"/>
        </w:trPr>
        <w:tc>
          <w:tcPr>
            <w:tcW w:w="14010" w:type="dxa"/>
            <w:gridSpan w:val="2"/>
            <w:shd w:val="clear" w:color="auto" w:fill="CCCCCC"/>
            <w:tcMar>
              <w:top w:w="100" w:type="dxa"/>
              <w:left w:w="100" w:type="dxa"/>
              <w:bottom w:w="100" w:type="dxa"/>
              <w:right w:w="100" w:type="dxa"/>
            </w:tcMar>
          </w:tcPr>
          <w:p w14:paraId="4443760A" w14:textId="77777777" w:rsidR="00975ED1" w:rsidRDefault="00B81A63">
            <w:pPr>
              <w:pStyle w:val="normal0"/>
              <w:ind w:right="812"/>
              <w:rPr>
                <w:rFonts w:ascii="Muli" w:eastAsia="Muli" w:hAnsi="Muli" w:cs="Muli"/>
                <w:b/>
                <w:color w:val="2F5496"/>
                <w:sz w:val="20"/>
                <w:szCs w:val="20"/>
              </w:rPr>
            </w:pPr>
            <w:r>
              <w:rPr>
                <w:rFonts w:ascii="Muli" w:eastAsia="Muli" w:hAnsi="Muli" w:cs="Muli"/>
                <w:b/>
                <w:sz w:val="18"/>
                <w:szCs w:val="18"/>
              </w:rPr>
              <w:lastRenderedPageBreak/>
              <w:t>F2. Presence of Three Dimensions</w:t>
            </w:r>
          </w:p>
        </w:tc>
      </w:tr>
      <w:tr w:rsidR="00975ED1" w14:paraId="47E3B3B1" w14:textId="77777777">
        <w:trPr>
          <w:trHeight w:val="420"/>
        </w:trPr>
        <w:tc>
          <w:tcPr>
            <w:tcW w:w="14010" w:type="dxa"/>
            <w:gridSpan w:val="2"/>
            <w:shd w:val="clear" w:color="auto" w:fill="F3F3F3"/>
            <w:tcMar>
              <w:top w:w="100" w:type="dxa"/>
              <w:left w:w="100" w:type="dxa"/>
              <w:bottom w:w="100" w:type="dxa"/>
              <w:right w:w="100" w:type="dxa"/>
            </w:tcMar>
          </w:tcPr>
          <w:p w14:paraId="015631FF" w14:textId="77777777" w:rsidR="00975ED1" w:rsidRDefault="00B81A63">
            <w:pPr>
              <w:pStyle w:val="normal0"/>
              <w:rPr>
                <w:rFonts w:ascii="Muli" w:eastAsia="Muli" w:hAnsi="Muli" w:cs="Muli"/>
                <w:sz w:val="20"/>
                <w:szCs w:val="20"/>
              </w:rPr>
            </w:pPr>
            <w:r>
              <w:rPr>
                <w:rFonts w:ascii="Muli" w:eastAsia="Muli" w:hAnsi="Muli" w:cs="Muli"/>
                <w:b/>
                <w:color w:val="2F5496"/>
                <w:sz w:val="20"/>
                <w:szCs w:val="20"/>
              </w:rPr>
              <w:t>The materials are High Quality 5 with regards to F2.</w:t>
            </w:r>
          </w:p>
          <w:p w14:paraId="62C8AEB8" w14:textId="77777777" w:rsidR="00975ED1" w:rsidRDefault="00B81A63">
            <w:pPr>
              <w:pStyle w:val="normal0"/>
              <w:rPr>
                <w:rFonts w:ascii="Muli" w:eastAsia="Muli" w:hAnsi="Muli" w:cs="Muli"/>
                <w:b/>
                <w:sz w:val="18"/>
                <w:szCs w:val="18"/>
              </w:rPr>
            </w:pPr>
            <w:r>
              <w:rPr>
                <w:rFonts w:ascii="Muli" w:eastAsia="Muli" w:hAnsi="Muli" w:cs="Muli"/>
                <w:sz w:val="20"/>
                <w:szCs w:val="20"/>
              </w:rPr>
              <w:t xml:space="preserve">They consistently provide opportunities for students to use and develop the three dimensions. </w:t>
            </w:r>
          </w:p>
        </w:tc>
      </w:tr>
      <w:tr w:rsidR="00975ED1" w14:paraId="08A69BE6" w14:textId="77777777">
        <w:trPr>
          <w:trHeight w:val="420"/>
        </w:trPr>
        <w:tc>
          <w:tcPr>
            <w:tcW w:w="9345" w:type="dxa"/>
            <w:tcMar>
              <w:top w:w="100" w:type="dxa"/>
              <w:left w:w="100" w:type="dxa"/>
              <w:bottom w:w="100" w:type="dxa"/>
              <w:right w:w="100" w:type="dxa"/>
            </w:tcMar>
          </w:tcPr>
          <w:p w14:paraId="0571735B" w14:textId="77777777" w:rsidR="00975ED1" w:rsidRDefault="00B81A63">
            <w:pPr>
              <w:pStyle w:val="normal0"/>
              <w:rPr>
                <w:rFonts w:ascii="Muli" w:eastAsia="Muli" w:hAnsi="Muli" w:cs="Muli"/>
                <w:color w:val="FF126D"/>
                <w:sz w:val="20"/>
                <w:szCs w:val="20"/>
              </w:rPr>
            </w:pPr>
            <w:r>
              <w:rPr>
                <w:rFonts w:ascii="Muli" w:eastAsia="Muli" w:hAnsi="Muli" w:cs="Muli"/>
                <w:b/>
                <w:color w:val="FF126D"/>
                <w:sz w:val="20"/>
                <w:szCs w:val="20"/>
              </w:rPr>
              <w:t>Evidence</w:t>
            </w:r>
          </w:p>
          <w:p w14:paraId="6C632CAB" w14:textId="77777777" w:rsidR="00975ED1" w:rsidRDefault="00B81A63">
            <w:pPr>
              <w:pStyle w:val="normal0"/>
              <w:ind w:right="90"/>
              <w:rPr>
                <w:rFonts w:ascii="Muli" w:eastAsia="Muli" w:hAnsi="Muli" w:cs="Muli"/>
                <w:sz w:val="20"/>
                <w:szCs w:val="20"/>
              </w:rPr>
            </w:pPr>
            <w:r>
              <w:rPr>
                <w:rFonts w:ascii="Muli" w:eastAsia="Muli" w:hAnsi="Muli" w:cs="Muli"/>
                <w:sz w:val="20"/>
                <w:szCs w:val="20"/>
              </w:rPr>
              <w:t xml:space="preserve">In this module, students are supported to use the three dimensions with increasing sophistication to solve the Module Phenomenon, answer the DQ, and complete the assessment tasks. </w:t>
            </w:r>
          </w:p>
          <w:p w14:paraId="33B58852" w14:textId="77777777" w:rsidR="00975ED1" w:rsidRDefault="00975ED1">
            <w:pPr>
              <w:pStyle w:val="normal0"/>
              <w:ind w:right="90"/>
              <w:rPr>
                <w:rFonts w:ascii="Muli" w:eastAsia="Muli" w:hAnsi="Muli" w:cs="Muli"/>
                <w:sz w:val="20"/>
                <w:szCs w:val="20"/>
              </w:rPr>
            </w:pPr>
          </w:p>
          <w:p w14:paraId="563B705A" w14:textId="77777777" w:rsidR="00975ED1" w:rsidRDefault="00B81A63">
            <w:pPr>
              <w:pStyle w:val="normal0"/>
              <w:ind w:right="90"/>
              <w:rPr>
                <w:rFonts w:ascii="Muli" w:eastAsia="Muli" w:hAnsi="Muli" w:cs="Muli"/>
                <w:b/>
                <w:sz w:val="20"/>
                <w:szCs w:val="20"/>
              </w:rPr>
            </w:pPr>
            <w:r>
              <w:rPr>
                <w:rFonts w:ascii="Muli" w:eastAsia="Muli" w:hAnsi="Muli" w:cs="Muli"/>
                <w:b/>
                <w:sz w:val="20"/>
                <w:szCs w:val="20"/>
              </w:rPr>
              <w:t>Use and Development of Dimensions</w:t>
            </w:r>
          </w:p>
          <w:p w14:paraId="4152203C" w14:textId="77777777" w:rsidR="00975ED1" w:rsidRDefault="00B81A63">
            <w:pPr>
              <w:pStyle w:val="normal0"/>
              <w:ind w:right="90"/>
              <w:rPr>
                <w:rFonts w:ascii="Muli" w:eastAsia="Muli" w:hAnsi="Muli" w:cs="Muli"/>
                <w:sz w:val="20"/>
                <w:szCs w:val="20"/>
                <w:shd w:val="clear" w:color="auto" w:fill="EA9999"/>
              </w:rPr>
            </w:pPr>
            <w:r>
              <w:rPr>
                <w:rFonts w:ascii="Muli" w:eastAsia="Muli" w:hAnsi="Muli" w:cs="Muli"/>
                <w:sz w:val="20"/>
                <w:szCs w:val="20"/>
              </w:rPr>
              <w:t>For example, in DQ1 students explore the</w:t>
            </w:r>
            <w:r>
              <w:rPr>
                <w:rFonts w:ascii="Muli" w:eastAsia="Muli" w:hAnsi="Muli" w:cs="Muli"/>
                <w:sz w:val="20"/>
                <w:szCs w:val="20"/>
              </w:rPr>
              <w:t xml:space="preserve"> question: How can we make an object move faster or move in a different direction? Over ten lessons, students carry out hands-on investigations (SEP-3) into the motion of objects (PS2.A) and the relationship between energy and forces (PS3.C). They analyze </w:t>
            </w:r>
            <w:r>
              <w:rPr>
                <w:rFonts w:ascii="Muli" w:eastAsia="Muli" w:hAnsi="Muli" w:cs="Muli"/>
                <w:sz w:val="20"/>
                <w:szCs w:val="20"/>
              </w:rPr>
              <w:t xml:space="preserve">and interpret their data (SEP-4), interrogate texts, watch videos, and apply the concept of cause and effect (CCC-2) to figure out the answer to the DQ—that they can make an object move, change direction, and stop with pushes and pulls, and that the </w:t>
            </w:r>
            <w:r>
              <w:rPr>
                <w:rFonts w:ascii="Muli" w:eastAsia="Muli" w:hAnsi="Muli" w:cs="Muli"/>
                <w:sz w:val="20"/>
                <w:szCs w:val="20"/>
              </w:rPr>
              <w:lastRenderedPageBreak/>
              <w:t>streng</w:t>
            </w:r>
            <w:r>
              <w:rPr>
                <w:rFonts w:ascii="Muli" w:eastAsia="Muli" w:hAnsi="Muli" w:cs="Muli"/>
                <w:sz w:val="20"/>
                <w:szCs w:val="20"/>
              </w:rPr>
              <w:t>th of a push or pull affects the speed and distance an object will travel.</w:t>
            </w:r>
          </w:p>
          <w:p w14:paraId="06AB7B16" w14:textId="77777777" w:rsidR="00975ED1" w:rsidRDefault="00975ED1">
            <w:pPr>
              <w:pStyle w:val="normal0"/>
              <w:rPr>
                <w:rFonts w:ascii="Muli" w:eastAsia="Muli" w:hAnsi="Muli" w:cs="Muli"/>
                <w:sz w:val="20"/>
                <w:szCs w:val="20"/>
                <w:shd w:val="clear" w:color="auto" w:fill="EA9999"/>
              </w:rPr>
            </w:pPr>
          </w:p>
          <w:p w14:paraId="7B9DB3EF" w14:textId="77777777" w:rsidR="00975ED1" w:rsidRDefault="00B81A63">
            <w:pPr>
              <w:pStyle w:val="normal0"/>
              <w:ind w:right="90"/>
              <w:rPr>
                <w:rFonts w:ascii="Muli" w:eastAsia="Muli" w:hAnsi="Muli" w:cs="Muli"/>
                <w:b/>
                <w:color w:val="FF126D"/>
                <w:sz w:val="20"/>
                <w:szCs w:val="20"/>
              </w:rPr>
            </w:pPr>
            <w:r>
              <w:rPr>
                <w:rFonts w:ascii="Muli" w:eastAsia="Muli" w:hAnsi="Muli" w:cs="Muli"/>
                <w:sz w:val="20"/>
                <w:szCs w:val="20"/>
              </w:rPr>
              <w:t>The 3-D Learning Objectives and dimensions that are addressed in every lesson are clearly identified at the start of each lesson. For example, in DQ2L6—where students are working t</w:t>
            </w:r>
            <w:r>
              <w:rPr>
                <w:rFonts w:ascii="Muli" w:eastAsia="Muli" w:hAnsi="Muli" w:cs="Muli"/>
                <w:sz w:val="20"/>
                <w:szCs w:val="20"/>
              </w:rPr>
              <w:t xml:space="preserve">o answer the DQ: How can we get marbles where we want them?—students use PS2.A, PS2.B, SEP-3, SEP-4, and CCC-2 to plan, carry out, and interpret the results of investigations into forces and motion </w:t>
            </w:r>
            <w:r>
              <w:rPr>
                <w:rFonts w:ascii="Muli" w:eastAsia="Muli" w:hAnsi="Muli" w:cs="Muli"/>
                <w:b/>
                <w:color w:val="FF126D"/>
                <w:sz w:val="20"/>
                <w:szCs w:val="20"/>
              </w:rPr>
              <w:t>(Standards and 3-D Learning Objectives TE p. 116)</w:t>
            </w:r>
            <w:r>
              <w:rPr>
                <w:rFonts w:ascii="Muli" w:eastAsia="Muli" w:hAnsi="Muli" w:cs="Muli"/>
                <w:sz w:val="20"/>
                <w:szCs w:val="20"/>
              </w:rPr>
              <w:t>.</w:t>
            </w:r>
          </w:p>
          <w:p w14:paraId="6C0CD9D3" w14:textId="77777777" w:rsidR="00975ED1" w:rsidRDefault="00975ED1">
            <w:pPr>
              <w:pStyle w:val="normal0"/>
              <w:ind w:right="90"/>
              <w:rPr>
                <w:rFonts w:ascii="Muli" w:eastAsia="Muli" w:hAnsi="Muli" w:cs="Muli"/>
                <w:sz w:val="20"/>
                <w:szCs w:val="20"/>
              </w:rPr>
            </w:pPr>
          </w:p>
          <w:p w14:paraId="440D5330" w14:textId="77777777" w:rsidR="00975ED1" w:rsidRDefault="00B81A63">
            <w:pPr>
              <w:pStyle w:val="normal0"/>
              <w:ind w:right="90"/>
              <w:rPr>
                <w:rFonts w:ascii="Muli" w:eastAsia="Muli" w:hAnsi="Muli" w:cs="Muli"/>
                <w:b/>
                <w:sz w:val="20"/>
                <w:szCs w:val="20"/>
              </w:rPr>
            </w:pPr>
            <w:r>
              <w:rPr>
                <w:rFonts w:ascii="Muli" w:eastAsia="Muli" w:hAnsi="Muli" w:cs="Muli"/>
                <w:b/>
                <w:sz w:val="20"/>
                <w:szCs w:val="20"/>
              </w:rPr>
              <w:t>Scienc</w:t>
            </w:r>
            <w:r>
              <w:rPr>
                <w:rFonts w:ascii="Muli" w:eastAsia="Muli" w:hAnsi="Muli" w:cs="Muli"/>
                <w:b/>
                <w:sz w:val="20"/>
                <w:szCs w:val="20"/>
              </w:rPr>
              <w:t>e Tools Poster</w:t>
            </w:r>
          </w:p>
          <w:p w14:paraId="4E3D22B1" w14:textId="77777777" w:rsidR="00975ED1" w:rsidRDefault="00B81A63">
            <w:pPr>
              <w:pStyle w:val="normal0"/>
              <w:rPr>
                <w:rFonts w:ascii="Muli" w:eastAsia="Muli" w:hAnsi="Muli" w:cs="Muli"/>
                <w:sz w:val="20"/>
                <w:szCs w:val="20"/>
              </w:rPr>
            </w:pPr>
            <w:r>
              <w:rPr>
                <w:rFonts w:ascii="Muli" w:eastAsia="Muli" w:hAnsi="Muli" w:cs="Muli"/>
                <w:sz w:val="20"/>
                <w:szCs w:val="20"/>
              </w:rPr>
              <w:t>Throughout the module, students use their class Science Tools poster to track their growing use of the SEPs. The poster is blank at the start of the year, and the eight SEPs are added when each one is used for the first time. In this module,</w:t>
            </w:r>
            <w:r>
              <w:rPr>
                <w:rFonts w:ascii="Muli" w:eastAsia="Muli" w:hAnsi="Muli" w:cs="Muli"/>
                <w:sz w:val="20"/>
                <w:szCs w:val="20"/>
              </w:rPr>
              <w:t xml:space="preserve"> students add:</w:t>
            </w:r>
          </w:p>
          <w:p w14:paraId="1A68BA5E" w14:textId="77777777" w:rsidR="00975ED1" w:rsidRDefault="00B81A63">
            <w:pPr>
              <w:pStyle w:val="normal0"/>
              <w:numPr>
                <w:ilvl w:val="0"/>
                <w:numId w:val="9"/>
              </w:numPr>
              <w:contextualSpacing/>
              <w:rPr>
                <w:rFonts w:ascii="Muli" w:eastAsia="Muli" w:hAnsi="Muli" w:cs="Muli"/>
                <w:sz w:val="20"/>
                <w:szCs w:val="20"/>
              </w:rPr>
            </w:pPr>
            <w:r>
              <w:rPr>
                <w:rFonts w:ascii="Muli" w:eastAsia="Muli" w:hAnsi="Muli" w:cs="Muli"/>
                <w:sz w:val="20"/>
                <w:szCs w:val="20"/>
              </w:rPr>
              <w:t>Ask questions (SEP-1)</w:t>
            </w:r>
          </w:p>
          <w:p w14:paraId="3EC2685D" w14:textId="77777777" w:rsidR="00975ED1" w:rsidRDefault="00B81A63">
            <w:pPr>
              <w:pStyle w:val="normal0"/>
              <w:numPr>
                <w:ilvl w:val="0"/>
                <w:numId w:val="9"/>
              </w:numPr>
              <w:contextualSpacing/>
              <w:rPr>
                <w:rFonts w:ascii="Muli" w:eastAsia="Muli" w:hAnsi="Muli" w:cs="Muli"/>
                <w:sz w:val="20"/>
                <w:szCs w:val="20"/>
              </w:rPr>
            </w:pPr>
            <w:r>
              <w:rPr>
                <w:rFonts w:ascii="Muli" w:eastAsia="Muli" w:hAnsi="Muli" w:cs="Muli"/>
                <w:sz w:val="20"/>
                <w:szCs w:val="20"/>
              </w:rPr>
              <w:t xml:space="preserve">Use math (SEP-5) </w:t>
            </w:r>
          </w:p>
          <w:p w14:paraId="432A84D0" w14:textId="77777777" w:rsidR="00975ED1" w:rsidRDefault="00B81A63">
            <w:pPr>
              <w:pStyle w:val="normal0"/>
              <w:numPr>
                <w:ilvl w:val="0"/>
                <w:numId w:val="9"/>
              </w:numPr>
              <w:contextualSpacing/>
              <w:rPr>
                <w:rFonts w:ascii="Muli" w:eastAsia="Muli" w:hAnsi="Muli" w:cs="Muli"/>
                <w:sz w:val="20"/>
                <w:szCs w:val="20"/>
              </w:rPr>
            </w:pPr>
            <w:r>
              <w:rPr>
                <w:rFonts w:ascii="Muli" w:eastAsia="Muli" w:hAnsi="Muli" w:cs="Muli"/>
                <w:sz w:val="20"/>
                <w:szCs w:val="20"/>
              </w:rPr>
              <w:t xml:space="preserve">Share ideas (SEP-8) </w:t>
            </w:r>
          </w:p>
          <w:p w14:paraId="5135EEE9" w14:textId="77777777" w:rsidR="00975ED1" w:rsidRDefault="00B81A63">
            <w:pPr>
              <w:pStyle w:val="normal0"/>
              <w:numPr>
                <w:ilvl w:val="0"/>
                <w:numId w:val="9"/>
              </w:numPr>
              <w:contextualSpacing/>
              <w:rPr>
                <w:rFonts w:ascii="Muli" w:eastAsia="Muli" w:hAnsi="Muli" w:cs="Muli"/>
                <w:sz w:val="20"/>
                <w:szCs w:val="20"/>
              </w:rPr>
            </w:pPr>
            <w:r>
              <w:rPr>
                <w:rFonts w:ascii="Muli" w:eastAsia="Muli" w:hAnsi="Muli" w:cs="Muli"/>
                <w:sz w:val="20"/>
                <w:szCs w:val="20"/>
              </w:rPr>
              <w:t>Make claims, and use evidence (SEP-7)</w:t>
            </w:r>
          </w:p>
          <w:p w14:paraId="1D1B4833" w14:textId="77777777" w:rsidR="00975ED1" w:rsidRDefault="00B81A63">
            <w:pPr>
              <w:pStyle w:val="normal0"/>
              <w:numPr>
                <w:ilvl w:val="0"/>
                <w:numId w:val="9"/>
              </w:numPr>
              <w:contextualSpacing/>
              <w:rPr>
                <w:rFonts w:ascii="Muli" w:eastAsia="Muli" w:hAnsi="Muli" w:cs="Muli"/>
                <w:sz w:val="20"/>
                <w:szCs w:val="20"/>
              </w:rPr>
            </w:pPr>
            <w:r>
              <w:rPr>
                <w:rFonts w:ascii="Muli" w:eastAsia="Muli" w:hAnsi="Muli" w:cs="Muli"/>
                <w:sz w:val="20"/>
                <w:szCs w:val="20"/>
              </w:rPr>
              <w:t>Plan investigations (SEP-3)</w:t>
            </w:r>
          </w:p>
          <w:p w14:paraId="3AAD810D" w14:textId="77777777" w:rsidR="00975ED1" w:rsidRDefault="00B81A63">
            <w:pPr>
              <w:pStyle w:val="normal0"/>
              <w:numPr>
                <w:ilvl w:val="0"/>
                <w:numId w:val="9"/>
              </w:numPr>
              <w:contextualSpacing/>
              <w:rPr>
                <w:rFonts w:ascii="Muli" w:eastAsia="Muli" w:hAnsi="Muli" w:cs="Muli"/>
                <w:sz w:val="20"/>
                <w:szCs w:val="20"/>
              </w:rPr>
            </w:pPr>
            <w:r>
              <w:rPr>
                <w:rFonts w:ascii="Muli" w:eastAsia="Muli" w:hAnsi="Muli" w:cs="Muli"/>
                <w:sz w:val="20"/>
                <w:szCs w:val="20"/>
              </w:rPr>
              <w:t>Design solutions (SEP-6)</w:t>
            </w:r>
          </w:p>
          <w:p w14:paraId="2D3CB63A" w14:textId="77777777" w:rsidR="00975ED1" w:rsidRDefault="00B81A63">
            <w:pPr>
              <w:pStyle w:val="normal0"/>
              <w:rPr>
                <w:rFonts w:ascii="Muli" w:eastAsia="Muli" w:hAnsi="Muli" w:cs="Muli"/>
                <w:sz w:val="20"/>
                <w:szCs w:val="20"/>
              </w:rPr>
            </w:pPr>
            <w:r>
              <w:rPr>
                <w:rFonts w:ascii="Muli" w:eastAsia="Muli" w:hAnsi="Muli" w:cs="Muli"/>
                <w:sz w:val="20"/>
                <w:szCs w:val="20"/>
              </w:rPr>
              <w:t>Students revisit:</w:t>
            </w:r>
          </w:p>
          <w:p w14:paraId="0D279522" w14:textId="77777777" w:rsidR="00975ED1" w:rsidRDefault="00B81A63">
            <w:pPr>
              <w:pStyle w:val="normal0"/>
              <w:numPr>
                <w:ilvl w:val="0"/>
                <w:numId w:val="9"/>
              </w:numPr>
              <w:contextualSpacing/>
              <w:rPr>
                <w:rFonts w:ascii="Muli" w:eastAsia="Muli" w:hAnsi="Muli" w:cs="Muli"/>
                <w:sz w:val="20"/>
                <w:szCs w:val="20"/>
              </w:rPr>
            </w:pPr>
            <w:r>
              <w:rPr>
                <w:rFonts w:ascii="Muli" w:eastAsia="Muli" w:hAnsi="Muli" w:cs="Muli"/>
                <w:sz w:val="20"/>
                <w:szCs w:val="20"/>
              </w:rPr>
              <w:t>Do investigations (SEP-3)</w:t>
            </w:r>
          </w:p>
          <w:p w14:paraId="4290E675" w14:textId="77777777" w:rsidR="00975ED1" w:rsidRDefault="00B81A63">
            <w:pPr>
              <w:pStyle w:val="normal0"/>
              <w:numPr>
                <w:ilvl w:val="0"/>
                <w:numId w:val="9"/>
              </w:numPr>
              <w:contextualSpacing/>
              <w:rPr>
                <w:rFonts w:ascii="Muli" w:eastAsia="Muli" w:hAnsi="Muli" w:cs="Muli"/>
                <w:sz w:val="20"/>
                <w:szCs w:val="20"/>
              </w:rPr>
            </w:pPr>
            <w:r>
              <w:rPr>
                <w:rFonts w:ascii="Muli" w:eastAsia="Muli" w:hAnsi="Muli" w:cs="Muli"/>
                <w:sz w:val="20"/>
                <w:szCs w:val="20"/>
              </w:rPr>
              <w:t>Make observations (SEP-4)</w:t>
            </w:r>
          </w:p>
          <w:p w14:paraId="4BE5FDAE" w14:textId="77777777" w:rsidR="00975ED1" w:rsidRDefault="00B81A63">
            <w:pPr>
              <w:pStyle w:val="normal0"/>
              <w:numPr>
                <w:ilvl w:val="0"/>
                <w:numId w:val="9"/>
              </w:numPr>
              <w:contextualSpacing/>
              <w:rPr>
                <w:rFonts w:ascii="Muli" w:eastAsia="Muli" w:hAnsi="Muli" w:cs="Muli"/>
                <w:sz w:val="20"/>
                <w:szCs w:val="20"/>
              </w:rPr>
            </w:pPr>
            <w:r>
              <w:rPr>
                <w:rFonts w:ascii="Muli" w:eastAsia="Muli" w:hAnsi="Muli" w:cs="Muli"/>
                <w:sz w:val="20"/>
                <w:szCs w:val="20"/>
              </w:rPr>
              <w:t>Read and listen (SEP-8)</w:t>
            </w:r>
          </w:p>
          <w:p w14:paraId="5141DA9F" w14:textId="77777777" w:rsidR="00975ED1" w:rsidRDefault="00B81A63">
            <w:pPr>
              <w:pStyle w:val="normal0"/>
              <w:numPr>
                <w:ilvl w:val="0"/>
                <w:numId w:val="9"/>
              </w:numPr>
              <w:contextualSpacing/>
              <w:rPr>
                <w:rFonts w:ascii="Muli" w:eastAsia="Muli" w:hAnsi="Muli" w:cs="Muli"/>
                <w:sz w:val="20"/>
                <w:szCs w:val="20"/>
              </w:rPr>
            </w:pPr>
            <w:r>
              <w:rPr>
                <w:rFonts w:ascii="Muli" w:eastAsia="Muli" w:hAnsi="Muli" w:cs="Muli"/>
                <w:sz w:val="20"/>
                <w:szCs w:val="20"/>
              </w:rPr>
              <w:t>Share ideas (SEP-8)</w:t>
            </w:r>
          </w:p>
          <w:p w14:paraId="666CDA81" w14:textId="77777777" w:rsidR="00975ED1" w:rsidRDefault="00B81A63">
            <w:pPr>
              <w:pStyle w:val="normal0"/>
              <w:numPr>
                <w:ilvl w:val="0"/>
                <w:numId w:val="9"/>
              </w:numPr>
              <w:contextualSpacing/>
              <w:rPr>
                <w:rFonts w:ascii="Muli" w:eastAsia="Muli" w:hAnsi="Muli" w:cs="Muli"/>
                <w:sz w:val="20"/>
                <w:szCs w:val="20"/>
              </w:rPr>
            </w:pPr>
            <w:r>
              <w:rPr>
                <w:rFonts w:ascii="Muli" w:eastAsia="Muli" w:hAnsi="Muli" w:cs="Muli"/>
                <w:sz w:val="20"/>
                <w:szCs w:val="20"/>
              </w:rPr>
              <w:t>Make models (SEP-2)</w:t>
            </w:r>
          </w:p>
        </w:tc>
        <w:tc>
          <w:tcPr>
            <w:tcW w:w="4665" w:type="dxa"/>
            <w:tcMar>
              <w:top w:w="100" w:type="dxa"/>
              <w:left w:w="100" w:type="dxa"/>
              <w:bottom w:w="100" w:type="dxa"/>
              <w:right w:w="100" w:type="dxa"/>
            </w:tcMar>
          </w:tcPr>
          <w:p w14:paraId="79077168" w14:textId="77777777" w:rsidR="00975ED1" w:rsidRDefault="00B81A63">
            <w:pPr>
              <w:pStyle w:val="normal0"/>
              <w:pBdr>
                <w:top w:val="nil"/>
                <w:left w:val="nil"/>
                <w:bottom w:val="nil"/>
                <w:right w:val="nil"/>
                <w:between w:val="nil"/>
              </w:pBdr>
              <w:ind w:right="30"/>
              <w:rPr>
                <w:sz w:val="20"/>
                <w:szCs w:val="20"/>
              </w:rPr>
            </w:pPr>
            <w:r>
              <w:rPr>
                <w:noProof/>
                <w:sz w:val="20"/>
                <w:szCs w:val="20"/>
              </w:rPr>
              <w:lastRenderedPageBreak/>
              <w:drawing>
                <wp:inline distT="114300" distB="114300" distL="114300" distR="114300" wp14:anchorId="156EFAA7" wp14:editId="5D928DCA">
                  <wp:extent cx="2830512" cy="1638718"/>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830512" cy="1638718"/>
                          </a:xfrm>
                          <a:prstGeom prst="rect">
                            <a:avLst/>
                          </a:prstGeom>
                          <a:ln/>
                        </pic:spPr>
                      </pic:pic>
                    </a:graphicData>
                  </a:graphic>
                </wp:inline>
              </w:drawing>
            </w:r>
          </w:p>
          <w:p w14:paraId="2D96AE39" w14:textId="77777777" w:rsidR="00975ED1" w:rsidRDefault="00B81A63">
            <w:pPr>
              <w:pStyle w:val="normal0"/>
              <w:ind w:right="90"/>
              <w:rPr>
                <w:sz w:val="20"/>
                <w:szCs w:val="20"/>
              </w:rPr>
            </w:pPr>
            <w:r>
              <w:rPr>
                <w:rFonts w:ascii="Muli" w:eastAsia="Muli" w:hAnsi="Muli" w:cs="Muli"/>
                <w:b/>
                <w:color w:val="FF126D"/>
                <w:sz w:val="20"/>
                <w:szCs w:val="20"/>
              </w:rPr>
              <w:t>Standards and 3-D Learning Objectives TE p. 116</w:t>
            </w:r>
          </w:p>
        </w:tc>
      </w:tr>
      <w:tr w:rsidR="00975ED1" w14:paraId="2573591C" w14:textId="77777777">
        <w:trPr>
          <w:trHeight w:val="3420"/>
        </w:trPr>
        <w:tc>
          <w:tcPr>
            <w:tcW w:w="9345" w:type="dxa"/>
            <w:tcMar>
              <w:top w:w="100" w:type="dxa"/>
              <w:left w:w="100" w:type="dxa"/>
              <w:bottom w:w="100" w:type="dxa"/>
              <w:right w:w="100" w:type="dxa"/>
            </w:tcMar>
          </w:tcPr>
          <w:p w14:paraId="7AB77C33" w14:textId="77777777" w:rsidR="00975ED1" w:rsidRDefault="00B81A63">
            <w:pPr>
              <w:pStyle w:val="normal0"/>
              <w:rPr>
                <w:rFonts w:ascii="Muli" w:eastAsia="Muli" w:hAnsi="Muli" w:cs="Muli"/>
                <w:b/>
                <w:color w:val="FF126D"/>
                <w:sz w:val="20"/>
                <w:szCs w:val="20"/>
              </w:rPr>
            </w:pPr>
            <w:r>
              <w:rPr>
                <w:rFonts w:ascii="Muli" w:eastAsia="Muli" w:hAnsi="Muli" w:cs="Muli"/>
                <w:sz w:val="20"/>
                <w:szCs w:val="20"/>
              </w:rPr>
              <w:lastRenderedPageBreak/>
              <w:t>This metacognitive activity grows students' awareness of which skills they are using</w:t>
            </w:r>
            <w:r>
              <w:rPr>
                <w:rFonts w:ascii="Muli" w:eastAsia="Muli" w:hAnsi="Muli" w:cs="Muli"/>
                <w:b/>
                <w:color w:val="FF126D"/>
                <w:sz w:val="20"/>
                <w:szCs w:val="20"/>
              </w:rPr>
              <w:t xml:space="preserve"> (DQ3L3 Science Tools poster TE p. 151)</w:t>
            </w:r>
            <w:r>
              <w:rPr>
                <w:rFonts w:ascii="Muli" w:eastAsia="Muli" w:hAnsi="Muli" w:cs="Muli"/>
                <w:sz w:val="20"/>
                <w:szCs w:val="20"/>
              </w:rPr>
              <w:t xml:space="preserve">. </w:t>
            </w:r>
          </w:p>
          <w:p w14:paraId="6C24B2D3" w14:textId="77777777" w:rsidR="00975ED1" w:rsidRDefault="00975ED1">
            <w:pPr>
              <w:pStyle w:val="normal0"/>
              <w:ind w:right="90"/>
              <w:rPr>
                <w:rFonts w:ascii="Muli" w:eastAsia="Muli" w:hAnsi="Muli" w:cs="Muli"/>
                <w:sz w:val="20"/>
                <w:szCs w:val="20"/>
              </w:rPr>
            </w:pPr>
          </w:p>
          <w:p w14:paraId="56ED440F" w14:textId="77777777" w:rsidR="00975ED1" w:rsidRDefault="00B81A63">
            <w:pPr>
              <w:pStyle w:val="normal0"/>
              <w:ind w:right="90"/>
              <w:rPr>
                <w:rFonts w:ascii="Muli" w:eastAsia="Muli" w:hAnsi="Muli" w:cs="Muli"/>
                <w:b/>
                <w:sz w:val="20"/>
                <w:szCs w:val="20"/>
              </w:rPr>
            </w:pPr>
            <w:r>
              <w:rPr>
                <w:rFonts w:ascii="Muli" w:eastAsia="Muli" w:hAnsi="Muli" w:cs="Muli"/>
                <w:b/>
                <w:sz w:val="20"/>
                <w:szCs w:val="20"/>
              </w:rPr>
              <w:t>Engineering</w:t>
            </w:r>
          </w:p>
          <w:p w14:paraId="6758D395" w14:textId="77777777" w:rsidR="00975ED1" w:rsidRDefault="00B81A63">
            <w:pPr>
              <w:pStyle w:val="normal0"/>
              <w:ind w:right="90"/>
              <w:rPr>
                <w:rFonts w:ascii="Muli" w:eastAsia="Muli" w:hAnsi="Muli" w:cs="Muli"/>
                <w:b/>
                <w:color w:val="FF126D"/>
                <w:sz w:val="20"/>
                <w:szCs w:val="20"/>
              </w:rPr>
            </w:pPr>
            <w:r>
              <w:rPr>
                <w:rFonts w:ascii="Muli" w:eastAsia="Muli" w:hAnsi="Muli" w:cs="Muli"/>
                <w:sz w:val="20"/>
                <w:szCs w:val="20"/>
              </w:rPr>
              <w:t xml:space="preserve">Engineering design is fully integrated into this module. Students are introduced to the role of an engineer and the concept of design in DQ1L1. After learning about and investigating forces in DQ1 and DQ2, students begin DQ3 and work towards answering the </w:t>
            </w:r>
            <w:r>
              <w:rPr>
                <w:rFonts w:ascii="Muli" w:eastAsia="Muli" w:hAnsi="Muli" w:cs="Muli"/>
                <w:sz w:val="20"/>
                <w:szCs w:val="20"/>
              </w:rPr>
              <w:t xml:space="preserve">Driving Question: How do we understand and design a marble run? The first several lessons of DQ3 involve students investigating available materials, designing, predicting, building, and testing various marble run designs. The DQ, and module, culminates in </w:t>
            </w:r>
            <w:r>
              <w:rPr>
                <w:rFonts w:ascii="Muli" w:eastAsia="Muli" w:hAnsi="Muli" w:cs="Muli"/>
                <w:sz w:val="20"/>
                <w:szCs w:val="20"/>
              </w:rPr>
              <w:t>an Engineering Design Challenge, where students define a problem that they want to solve with their marble run, and then design, build, test, revise, and present their final marble runs.</w:t>
            </w:r>
          </w:p>
        </w:tc>
        <w:tc>
          <w:tcPr>
            <w:tcW w:w="4665" w:type="dxa"/>
            <w:tcMar>
              <w:top w:w="100" w:type="dxa"/>
              <w:left w:w="100" w:type="dxa"/>
              <w:bottom w:w="100" w:type="dxa"/>
              <w:right w:w="100" w:type="dxa"/>
            </w:tcMar>
          </w:tcPr>
          <w:p w14:paraId="55B9D6B1" w14:textId="77777777" w:rsidR="00975ED1" w:rsidRDefault="00B81A63">
            <w:pPr>
              <w:pStyle w:val="normal0"/>
              <w:pBdr>
                <w:top w:val="nil"/>
                <w:left w:val="nil"/>
                <w:bottom w:val="nil"/>
                <w:right w:val="nil"/>
                <w:between w:val="nil"/>
              </w:pBdr>
              <w:ind w:right="30"/>
              <w:rPr>
                <w:sz w:val="20"/>
                <w:szCs w:val="20"/>
              </w:rPr>
            </w:pPr>
            <w:r>
              <w:rPr>
                <w:noProof/>
                <w:sz w:val="20"/>
                <w:szCs w:val="20"/>
              </w:rPr>
              <w:drawing>
                <wp:inline distT="114300" distB="114300" distL="114300" distR="114300" wp14:anchorId="5A567644" wp14:editId="42040085">
                  <wp:extent cx="2763837" cy="1714856"/>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2763837" cy="1714856"/>
                          </a:xfrm>
                          <a:prstGeom prst="rect">
                            <a:avLst/>
                          </a:prstGeom>
                          <a:ln/>
                        </pic:spPr>
                      </pic:pic>
                    </a:graphicData>
                  </a:graphic>
                </wp:inline>
              </w:drawing>
            </w:r>
          </w:p>
          <w:p w14:paraId="556E1CCA" w14:textId="77777777" w:rsidR="00975ED1" w:rsidRDefault="00B81A63">
            <w:pPr>
              <w:pStyle w:val="normal0"/>
              <w:rPr>
                <w:rFonts w:ascii="Muli" w:eastAsia="Muli" w:hAnsi="Muli" w:cs="Muli"/>
                <w:b/>
                <w:color w:val="FF126D"/>
                <w:sz w:val="20"/>
                <w:szCs w:val="20"/>
              </w:rPr>
            </w:pPr>
            <w:r>
              <w:rPr>
                <w:rFonts w:ascii="Muli" w:eastAsia="Muli" w:hAnsi="Muli" w:cs="Muli"/>
                <w:b/>
                <w:color w:val="FF126D"/>
                <w:sz w:val="20"/>
                <w:szCs w:val="20"/>
              </w:rPr>
              <w:t>DQ3L3 Science Tools poster TE p. 151</w:t>
            </w:r>
          </w:p>
          <w:p w14:paraId="7C535F13" w14:textId="77777777" w:rsidR="00975ED1" w:rsidRDefault="00975ED1">
            <w:pPr>
              <w:pStyle w:val="normal0"/>
              <w:rPr>
                <w:rFonts w:ascii="Muli" w:eastAsia="Muli" w:hAnsi="Muli" w:cs="Muli"/>
                <w:b/>
                <w:color w:val="FF126D"/>
                <w:sz w:val="20"/>
                <w:szCs w:val="20"/>
              </w:rPr>
            </w:pPr>
          </w:p>
        </w:tc>
      </w:tr>
      <w:tr w:rsidR="00975ED1" w14:paraId="6C8F2151" w14:textId="77777777">
        <w:trPr>
          <w:trHeight w:val="460"/>
        </w:trPr>
        <w:tc>
          <w:tcPr>
            <w:tcW w:w="14010" w:type="dxa"/>
            <w:gridSpan w:val="2"/>
            <w:shd w:val="clear" w:color="auto" w:fill="CCCCCC"/>
            <w:tcMar>
              <w:top w:w="100" w:type="dxa"/>
              <w:left w:w="100" w:type="dxa"/>
              <w:bottom w:w="100" w:type="dxa"/>
              <w:right w:w="100" w:type="dxa"/>
            </w:tcMar>
          </w:tcPr>
          <w:p w14:paraId="552E4EBA" w14:textId="77777777" w:rsidR="00975ED1" w:rsidRDefault="00B81A63">
            <w:pPr>
              <w:pStyle w:val="normal0"/>
              <w:ind w:left="90" w:right="723"/>
              <w:rPr>
                <w:rFonts w:ascii="Muli" w:eastAsia="Muli" w:hAnsi="Muli" w:cs="Muli"/>
                <w:b/>
                <w:color w:val="2F5496"/>
                <w:sz w:val="20"/>
                <w:szCs w:val="20"/>
              </w:rPr>
            </w:pPr>
            <w:r>
              <w:rPr>
                <w:rFonts w:ascii="Muli" w:eastAsia="Muli" w:hAnsi="Muli" w:cs="Muli"/>
                <w:b/>
                <w:sz w:val="18"/>
                <w:szCs w:val="18"/>
              </w:rPr>
              <w:t>F3. Presence of Logical Sequ</w:t>
            </w:r>
            <w:r>
              <w:rPr>
                <w:rFonts w:ascii="Muli" w:eastAsia="Muli" w:hAnsi="Muli" w:cs="Muli"/>
                <w:b/>
                <w:sz w:val="18"/>
                <w:szCs w:val="18"/>
              </w:rPr>
              <w:t>ence</w:t>
            </w:r>
          </w:p>
        </w:tc>
      </w:tr>
      <w:tr w:rsidR="00975ED1" w14:paraId="6CCF50FB" w14:textId="77777777">
        <w:trPr>
          <w:trHeight w:val="460"/>
        </w:trPr>
        <w:tc>
          <w:tcPr>
            <w:tcW w:w="14010" w:type="dxa"/>
            <w:gridSpan w:val="2"/>
            <w:shd w:val="clear" w:color="auto" w:fill="F3F3F3"/>
            <w:tcMar>
              <w:top w:w="100" w:type="dxa"/>
              <w:left w:w="100" w:type="dxa"/>
              <w:bottom w:w="100" w:type="dxa"/>
              <w:right w:w="100" w:type="dxa"/>
            </w:tcMar>
          </w:tcPr>
          <w:p w14:paraId="49FE01E8" w14:textId="77777777" w:rsidR="00975ED1" w:rsidRDefault="00B81A63">
            <w:pPr>
              <w:pStyle w:val="normal0"/>
              <w:ind w:left="90"/>
              <w:rPr>
                <w:rFonts w:ascii="Muli" w:eastAsia="Muli" w:hAnsi="Muli" w:cs="Muli"/>
                <w:sz w:val="20"/>
                <w:szCs w:val="20"/>
              </w:rPr>
            </w:pPr>
            <w:r>
              <w:rPr>
                <w:rFonts w:ascii="Muli" w:eastAsia="Muli" w:hAnsi="Muli" w:cs="Muli"/>
                <w:b/>
                <w:color w:val="2F5496"/>
                <w:sz w:val="20"/>
                <w:szCs w:val="20"/>
              </w:rPr>
              <w:t>The materials are High Quality 5 with regards to F3.</w:t>
            </w:r>
          </w:p>
          <w:p w14:paraId="309C0743" w14:textId="77777777" w:rsidR="00975ED1" w:rsidRDefault="00B81A63">
            <w:pPr>
              <w:pStyle w:val="normal0"/>
              <w:ind w:left="90"/>
              <w:rPr>
                <w:rFonts w:ascii="Muli" w:eastAsia="Muli" w:hAnsi="Muli" w:cs="Muli"/>
                <w:b/>
                <w:sz w:val="18"/>
                <w:szCs w:val="18"/>
              </w:rPr>
            </w:pPr>
            <w:r>
              <w:rPr>
                <w:rFonts w:ascii="Muli" w:eastAsia="Muli" w:hAnsi="Muli" w:cs="Muli"/>
                <w:sz w:val="20"/>
                <w:szCs w:val="20"/>
              </w:rPr>
              <w:t>The materials consistently exhibit a clear, logical, and appropriate sequence across the three dimensions.</w:t>
            </w:r>
          </w:p>
        </w:tc>
      </w:tr>
      <w:tr w:rsidR="00975ED1" w14:paraId="38F1B778" w14:textId="77777777">
        <w:trPr>
          <w:trHeight w:val="2140"/>
        </w:trPr>
        <w:tc>
          <w:tcPr>
            <w:tcW w:w="9345" w:type="dxa"/>
            <w:shd w:val="clear" w:color="auto" w:fill="FFFFFF"/>
            <w:tcMar>
              <w:top w:w="99" w:type="dxa"/>
              <w:left w:w="99" w:type="dxa"/>
              <w:bottom w:w="99" w:type="dxa"/>
              <w:right w:w="99" w:type="dxa"/>
            </w:tcMar>
          </w:tcPr>
          <w:p w14:paraId="68629D80" w14:textId="77777777" w:rsidR="00975ED1" w:rsidRDefault="00B81A63">
            <w:pPr>
              <w:pStyle w:val="normal0"/>
              <w:rPr>
                <w:rFonts w:ascii="Muli" w:eastAsia="Muli" w:hAnsi="Muli" w:cs="Muli"/>
                <w:b/>
                <w:color w:val="FF126D"/>
                <w:sz w:val="20"/>
                <w:szCs w:val="20"/>
              </w:rPr>
            </w:pPr>
            <w:r>
              <w:rPr>
                <w:rFonts w:ascii="Muli" w:eastAsia="Muli" w:hAnsi="Muli" w:cs="Muli"/>
                <w:b/>
                <w:color w:val="FF126D"/>
                <w:sz w:val="20"/>
                <w:szCs w:val="20"/>
              </w:rPr>
              <w:t>Evidence</w:t>
            </w:r>
          </w:p>
          <w:p w14:paraId="2A411C21" w14:textId="77777777" w:rsidR="00975ED1" w:rsidRDefault="00975ED1">
            <w:pPr>
              <w:pStyle w:val="normal0"/>
              <w:ind w:left="90"/>
              <w:rPr>
                <w:rFonts w:ascii="Muli" w:eastAsia="Muli" w:hAnsi="Muli" w:cs="Muli"/>
                <w:sz w:val="20"/>
                <w:szCs w:val="20"/>
              </w:rPr>
            </w:pPr>
          </w:p>
          <w:p w14:paraId="1EE0F5A8" w14:textId="77777777" w:rsidR="00975ED1" w:rsidRDefault="00B81A63">
            <w:pPr>
              <w:pStyle w:val="normal0"/>
              <w:rPr>
                <w:rFonts w:ascii="Muli" w:eastAsia="Muli" w:hAnsi="Muli" w:cs="Muli"/>
                <w:sz w:val="20"/>
                <w:szCs w:val="20"/>
              </w:rPr>
            </w:pPr>
            <w:r>
              <w:rPr>
                <w:rFonts w:ascii="Muli" w:eastAsia="Muli" w:hAnsi="Muli" w:cs="Muli"/>
                <w:b/>
                <w:sz w:val="20"/>
                <w:szCs w:val="20"/>
              </w:rPr>
              <w:t>Targeted Three Dimensions in a Logical Sequence</w:t>
            </w:r>
          </w:p>
          <w:p w14:paraId="373CF570" w14:textId="77777777" w:rsidR="00975ED1" w:rsidRDefault="00975ED1">
            <w:pPr>
              <w:pStyle w:val="normal0"/>
              <w:rPr>
                <w:rFonts w:ascii="Muli" w:eastAsia="Muli" w:hAnsi="Muli" w:cs="Muli"/>
                <w:sz w:val="20"/>
                <w:szCs w:val="20"/>
              </w:rPr>
            </w:pPr>
          </w:p>
          <w:p w14:paraId="38A0A780" w14:textId="77777777" w:rsidR="00975ED1" w:rsidRDefault="00B81A63">
            <w:pPr>
              <w:pStyle w:val="normal0"/>
              <w:rPr>
                <w:rFonts w:ascii="Muli" w:eastAsia="Muli" w:hAnsi="Muli" w:cs="Muli"/>
                <w:b/>
                <w:sz w:val="20"/>
                <w:szCs w:val="20"/>
              </w:rPr>
            </w:pPr>
            <w:r>
              <w:rPr>
                <w:rFonts w:ascii="Muli" w:eastAsia="Muli" w:hAnsi="Muli" w:cs="Muli"/>
                <w:b/>
                <w:sz w:val="20"/>
                <w:szCs w:val="20"/>
              </w:rPr>
              <w:t>Grade Sequence</w:t>
            </w:r>
          </w:p>
          <w:p w14:paraId="06469CDD" w14:textId="77777777" w:rsidR="00975ED1" w:rsidRDefault="00B81A63">
            <w:pPr>
              <w:pStyle w:val="normal0"/>
              <w:rPr>
                <w:rFonts w:ascii="Muli" w:eastAsia="Muli" w:hAnsi="Muli" w:cs="Muli"/>
                <w:b/>
                <w:color w:val="FF126D"/>
                <w:sz w:val="20"/>
                <w:szCs w:val="20"/>
              </w:rPr>
            </w:pPr>
            <w:r>
              <w:rPr>
                <w:rFonts w:ascii="Muli" w:eastAsia="Muli" w:hAnsi="Muli" w:cs="Muli"/>
                <w:sz w:val="20"/>
                <w:szCs w:val="20"/>
              </w:rPr>
              <w:t xml:space="preserve">The </w:t>
            </w:r>
            <w:r>
              <w:rPr>
                <w:rFonts w:ascii="Muli" w:eastAsia="Muli" w:hAnsi="Muli" w:cs="Muli"/>
                <w:b/>
                <w:color w:val="FF126D"/>
                <w:sz w:val="20"/>
                <w:szCs w:val="20"/>
              </w:rPr>
              <w:t>Kindergarten Scope and Sequence</w:t>
            </w:r>
            <w:r>
              <w:rPr>
                <w:rFonts w:ascii="Muli" w:eastAsia="Muli" w:hAnsi="Muli" w:cs="Muli"/>
                <w:sz w:val="20"/>
                <w:szCs w:val="20"/>
              </w:rPr>
              <w:t xml:space="preserve"> clearly identifies the three dimensions targeted in Marble Run Engineer and where they fit into the sequence of dimensions that are addressed across the entire grade. For example, students will go on to revisit K–2-ETS1-1 in</w:t>
            </w:r>
            <w:r>
              <w:rPr>
                <w:rFonts w:ascii="Muli" w:eastAsia="Muli" w:hAnsi="Muli" w:cs="Muli"/>
                <w:sz w:val="20"/>
                <w:szCs w:val="20"/>
              </w:rPr>
              <w:t xml:space="preserve"> Module 3 and Module 4. The sequence of all the DCIs, SEPs, and CCCs targeted at Grade K is easy to see at a glance.</w:t>
            </w:r>
          </w:p>
        </w:tc>
        <w:tc>
          <w:tcPr>
            <w:tcW w:w="4665" w:type="dxa"/>
            <w:shd w:val="clear" w:color="auto" w:fill="FFFFFF"/>
            <w:tcMar>
              <w:top w:w="99" w:type="dxa"/>
              <w:left w:w="99" w:type="dxa"/>
              <w:bottom w:w="99" w:type="dxa"/>
              <w:right w:w="99" w:type="dxa"/>
            </w:tcMar>
          </w:tcPr>
          <w:p w14:paraId="5DFC8913" w14:textId="77777777" w:rsidR="00975ED1" w:rsidRDefault="00B81A63">
            <w:pPr>
              <w:pStyle w:val="normal0"/>
              <w:rPr>
                <w:sz w:val="20"/>
                <w:szCs w:val="20"/>
              </w:rPr>
            </w:pPr>
            <w:r>
              <w:rPr>
                <w:noProof/>
                <w:sz w:val="20"/>
                <w:szCs w:val="20"/>
              </w:rPr>
              <w:drawing>
                <wp:inline distT="114300" distB="114300" distL="114300" distR="114300" wp14:anchorId="2E94C4C9" wp14:editId="1C4E1E06">
                  <wp:extent cx="2306637" cy="2857476"/>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2306637" cy="2857476"/>
                          </a:xfrm>
                          <a:prstGeom prst="rect">
                            <a:avLst/>
                          </a:prstGeom>
                          <a:ln/>
                        </pic:spPr>
                      </pic:pic>
                    </a:graphicData>
                  </a:graphic>
                </wp:inline>
              </w:drawing>
            </w:r>
          </w:p>
          <w:p w14:paraId="3C237FFC" w14:textId="77777777" w:rsidR="00975ED1" w:rsidRDefault="00B81A63">
            <w:pPr>
              <w:pStyle w:val="normal0"/>
              <w:rPr>
                <w:sz w:val="20"/>
                <w:szCs w:val="20"/>
              </w:rPr>
            </w:pPr>
            <w:r>
              <w:rPr>
                <w:rFonts w:ascii="Muli" w:eastAsia="Muli" w:hAnsi="Muli" w:cs="Muli"/>
                <w:b/>
                <w:color w:val="FF126D"/>
                <w:sz w:val="20"/>
                <w:szCs w:val="20"/>
              </w:rPr>
              <w:t>Kindergarten Scope and Sequence</w:t>
            </w:r>
          </w:p>
        </w:tc>
      </w:tr>
      <w:tr w:rsidR="00975ED1" w14:paraId="5D34AACA" w14:textId="77777777">
        <w:trPr>
          <w:trHeight w:val="2140"/>
        </w:trPr>
        <w:tc>
          <w:tcPr>
            <w:tcW w:w="9345" w:type="dxa"/>
            <w:shd w:val="clear" w:color="auto" w:fill="FFFFFF"/>
            <w:tcMar>
              <w:top w:w="99" w:type="dxa"/>
              <w:left w:w="99" w:type="dxa"/>
              <w:bottom w:w="99" w:type="dxa"/>
              <w:right w:w="99" w:type="dxa"/>
            </w:tcMar>
          </w:tcPr>
          <w:p w14:paraId="2C185707" w14:textId="77777777" w:rsidR="00975ED1" w:rsidRDefault="00B81A63">
            <w:pPr>
              <w:pStyle w:val="normal0"/>
              <w:rPr>
                <w:rFonts w:ascii="Muli" w:eastAsia="Muli" w:hAnsi="Muli" w:cs="Muli"/>
                <w:b/>
                <w:sz w:val="20"/>
                <w:szCs w:val="20"/>
              </w:rPr>
            </w:pPr>
            <w:r>
              <w:rPr>
                <w:rFonts w:ascii="Muli" w:eastAsia="Muli" w:hAnsi="Muli" w:cs="Muli"/>
                <w:b/>
                <w:sz w:val="20"/>
                <w:szCs w:val="20"/>
              </w:rPr>
              <w:lastRenderedPageBreak/>
              <w:t>Program Sequence</w:t>
            </w:r>
          </w:p>
          <w:p w14:paraId="3CCF789E" w14:textId="77777777" w:rsidR="00975ED1" w:rsidRDefault="00B81A63">
            <w:pPr>
              <w:pStyle w:val="normal0"/>
              <w:rPr>
                <w:rFonts w:ascii="Muli" w:eastAsia="Muli" w:hAnsi="Muli" w:cs="Muli"/>
                <w:b/>
                <w:color w:val="FF126D"/>
                <w:sz w:val="20"/>
                <w:szCs w:val="20"/>
              </w:rPr>
            </w:pPr>
            <w:r>
              <w:rPr>
                <w:rFonts w:ascii="Muli" w:eastAsia="Muli" w:hAnsi="Muli" w:cs="Muli"/>
                <w:sz w:val="20"/>
                <w:szCs w:val="20"/>
              </w:rPr>
              <w:t xml:space="preserve">The </w:t>
            </w:r>
            <w:r>
              <w:rPr>
                <w:rFonts w:ascii="Muli" w:eastAsia="Muli" w:hAnsi="Muli" w:cs="Muli"/>
                <w:b/>
                <w:color w:val="FF126D"/>
                <w:sz w:val="20"/>
                <w:szCs w:val="20"/>
              </w:rPr>
              <w:t>Performance Expectations Progressions table</w:t>
            </w:r>
            <w:r>
              <w:rPr>
                <w:rFonts w:ascii="Muli" w:eastAsia="Muli" w:hAnsi="Muli" w:cs="Muli"/>
                <w:sz w:val="20"/>
                <w:szCs w:val="20"/>
              </w:rPr>
              <w:t xml:space="preserve"> identifies where students will revisit dimensions in future grades. For example, students will revisit engineering in Grade 4 Module 4, and forces in Grade 3 Module 1, Grade 4 Module 1, and Grade 6 Module 2. </w:t>
            </w:r>
          </w:p>
        </w:tc>
        <w:tc>
          <w:tcPr>
            <w:tcW w:w="4665" w:type="dxa"/>
            <w:shd w:val="clear" w:color="auto" w:fill="FFFFFF"/>
            <w:tcMar>
              <w:top w:w="99" w:type="dxa"/>
              <w:left w:w="99" w:type="dxa"/>
              <w:bottom w:w="99" w:type="dxa"/>
              <w:right w:w="99" w:type="dxa"/>
            </w:tcMar>
          </w:tcPr>
          <w:p w14:paraId="7E530D67" w14:textId="77777777" w:rsidR="00975ED1" w:rsidRDefault="00B81A63">
            <w:pPr>
              <w:pStyle w:val="normal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7BE29F32" wp14:editId="40024B42">
                  <wp:extent cx="1878012" cy="2170398"/>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l="19181" r="22254"/>
                          <a:stretch>
                            <a:fillRect/>
                          </a:stretch>
                        </pic:blipFill>
                        <pic:spPr>
                          <a:xfrm>
                            <a:off x="0" y="0"/>
                            <a:ext cx="1878012" cy="2170398"/>
                          </a:xfrm>
                          <a:prstGeom prst="rect">
                            <a:avLst/>
                          </a:prstGeom>
                          <a:ln/>
                        </pic:spPr>
                      </pic:pic>
                    </a:graphicData>
                  </a:graphic>
                </wp:inline>
              </w:drawing>
            </w:r>
          </w:p>
          <w:p w14:paraId="5336179C" w14:textId="77777777" w:rsidR="00975ED1" w:rsidRDefault="00B81A63">
            <w:pPr>
              <w:pStyle w:val="normal0"/>
              <w:rPr>
                <w:rFonts w:ascii="Muli" w:eastAsia="Muli" w:hAnsi="Muli" w:cs="Muli"/>
                <w:b/>
                <w:color w:val="FF126D"/>
                <w:sz w:val="20"/>
                <w:szCs w:val="20"/>
              </w:rPr>
            </w:pPr>
            <w:r>
              <w:rPr>
                <w:rFonts w:ascii="Muli" w:eastAsia="Muli" w:hAnsi="Muli" w:cs="Muli"/>
                <w:b/>
                <w:color w:val="FF126D"/>
                <w:sz w:val="20"/>
                <w:szCs w:val="20"/>
              </w:rPr>
              <w:t>Performance Expectations Progressions table</w:t>
            </w:r>
          </w:p>
        </w:tc>
      </w:tr>
      <w:tr w:rsidR="00975ED1" w14:paraId="7852CCB5" w14:textId="77777777">
        <w:trPr>
          <w:trHeight w:val="2140"/>
        </w:trPr>
        <w:tc>
          <w:tcPr>
            <w:tcW w:w="9345" w:type="dxa"/>
            <w:shd w:val="clear" w:color="auto" w:fill="FFFFFF"/>
            <w:tcMar>
              <w:top w:w="99" w:type="dxa"/>
              <w:left w:w="99" w:type="dxa"/>
              <w:bottom w:w="99" w:type="dxa"/>
              <w:right w:w="99" w:type="dxa"/>
            </w:tcMar>
          </w:tcPr>
          <w:p w14:paraId="4888EF88" w14:textId="77777777" w:rsidR="00975ED1" w:rsidRDefault="00B81A63">
            <w:pPr>
              <w:pStyle w:val="normal0"/>
              <w:rPr>
                <w:rFonts w:ascii="Muli" w:eastAsia="Muli" w:hAnsi="Muli" w:cs="Muli"/>
                <w:b/>
                <w:sz w:val="20"/>
                <w:szCs w:val="20"/>
              </w:rPr>
            </w:pPr>
            <w:r>
              <w:rPr>
                <w:rFonts w:ascii="Muli" w:eastAsia="Muli" w:hAnsi="Muli" w:cs="Muli"/>
                <w:b/>
                <w:sz w:val="20"/>
                <w:szCs w:val="20"/>
              </w:rPr>
              <w:t xml:space="preserve">Module Sequence </w:t>
            </w:r>
          </w:p>
          <w:p w14:paraId="485A20AD" w14:textId="77777777" w:rsidR="00975ED1" w:rsidRDefault="00B81A63">
            <w:pPr>
              <w:pStyle w:val="normal0"/>
              <w:rPr>
                <w:rFonts w:ascii="Muli" w:eastAsia="Muli" w:hAnsi="Muli" w:cs="Muli"/>
                <w:b/>
                <w:sz w:val="20"/>
                <w:szCs w:val="20"/>
              </w:rPr>
            </w:pPr>
            <w:r>
              <w:rPr>
                <w:rFonts w:ascii="Muli" w:eastAsia="Muli" w:hAnsi="Muli" w:cs="Muli"/>
                <w:sz w:val="20"/>
                <w:szCs w:val="20"/>
              </w:rPr>
              <w:t xml:space="preserve">The </w:t>
            </w:r>
            <w:r>
              <w:rPr>
                <w:rFonts w:ascii="Muli" w:eastAsia="Muli" w:hAnsi="Muli" w:cs="Muli"/>
                <w:b/>
                <w:color w:val="FF126D"/>
                <w:sz w:val="20"/>
                <w:szCs w:val="20"/>
              </w:rPr>
              <w:t>Module Contents (TE pp. ii–iii)</w:t>
            </w:r>
            <w:r>
              <w:rPr>
                <w:rFonts w:ascii="Muli" w:eastAsia="Muli" w:hAnsi="Muli" w:cs="Muli"/>
                <w:sz w:val="20"/>
                <w:szCs w:val="20"/>
              </w:rPr>
              <w:t xml:space="preserve"> identifies the sequence of three dimensions addressed in GK M2 and how they build on each other. For example, students are introduced to motion and learn about pushes and pulls in DQ1, before they inves</w:t>
            </w:r>
            <w:r>
              <w:rPr>
                <w:rFonts w:ascii="Muli" w:eastAsia="Muli" w:hAnsi="Muli" w:cs="Muli"/>
                <w:sz w:val="20"/>
                <w:szCs w:val="20"/>
              </w:rPr>
              <w:t>tigate using pushes and pulls to change the speed and direction of an object in DQ2. In DQ3, they use their learning to predict and test how a marble will move in marble runs that they have designed.</w:t>
            </w:r>
          </w:p>
        </w:tc>
        <w:tc>
          <w:tcPr>
            <w:tcW w:w="4665" w:type="dxa"/>
            <w:shd w:val="clear" w:color="auto" w:fill="FFFFFF"/>
            <w:tcMar>
              <w:top w:w="99" w:type="dxa"/>
              <w:left w:w="99" w:type="dxa"/>
              <w:bottom w:w="99" w:type="dxa"/>
              <w:right w:w="99" w:type="dxa"/>
            </w:tcMar>
          </w:tcPr>
          <w:p w14:paraId="44A478BF" w14:textId="77777777" w:rsidR="00975ED1" w:rsidRDefault="00B81A63">
            <w:pPr>
              <w:pStyle w:val="normal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330DF3D3" wp14:editId="394FBF1E">
                  <wp:extent cx="2828925" cy="1714500"/>
                  <wp:effectExtent l="12700" t="12700" r="12700" b="1270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2828925" cy="1714500"/>
                          </a:xfrm>
                          <a:prstGeom prst="rect">
                            <a:avLst/>
                          </a:prstGeom>
                          <a:ln w="12700">
                            <a:solidFill>
                              <a:srgbClr val="CCCCCC"/>
                            </a:solidFill>
                            <a:prstDash val="solid"/>
                          </a:ln>
                        </pic:spPr>
                      </pic:pic>
                    </a:graphicData>
                  </a:graphic>
                </wp:inline>
              </w:drawing>
            </w:r>
          </w:p>
          <w:p w14:paraId="74B90070" w14:textId="77777777" w:rsidR="00975ED1" w:rsidRDefault="00B81A63">
            <w:pPr>
              <w:pStyle w:val="normal0"/>
              <w:rPr>
                <w:rFonts w:ascii="Muli" w:eastAsia="Muli" w:hAnsi="Muli" w:cs="Muli"/>
                <w:b/>
                <w:color w:val="FF126D"/>
                <w:sz w:val="20"/>
                <w:szCs w:val="20"/>
              </w:rPr>
            </w:pPr>
            <w:r>
              <w:rPr>
                <w:rFonts w:ascii="Muli" w:eastAsia="Muli" w:hAnsi="Muli" w:cs="Muli"/>
                <w:b/>
                <w:color w:val="FF126D"/>
                <w:sz w:val="20"/>
                <w:szCs w:val="20"/>
              </w:rPr>
              <w:t>Module Contents (TE pp. ii–iii)</w:t>
            </w:r>
          </w:p>
        </w:tc>
      </w:tr>
      <w:tr w:rsidR="00975ED1" w14:paraId="796CB340" w14:textId="77777777">
        <w:trPr>
          <w:trHeight w:val="2140"/>
        </w:trPr>
        <w:tc>
          <w:tcPr>
            <w:tcW w:w="9345" w:type="dxa"/>
            <w:shd w:val="clear" w:color="auto" w:fill="FFFFFF"/>
            <w:tcMar>
              <w:top w:w="99" w:type="dxa"/>
              <w:left w:w="99" w:type="dxa"/>
              <w:bottom w:w="99" w:type="dxa"/>
              <w:right w:w="99" w:type="dxa"/>
            </w:tcMar>
          </w:tcPr>
          <w:p w14:paraId="1B843E0F" w14:textId="77777777" w:rsidR="00975ED1" w:rsidRDefault="00B81A63">
            <w:pPr>
              <w:pStyle w:val="normal0"/>
              <w:rPr>
                <w:rFonts w:ascii="Muli" w:eastAsia="Muli" w:hAnsi="Muli" w:cs="Muli"/>
                <w:b/>
                <w:sz w:val="20"/>
                <w:szCs w:val="20"/>
              </w:rPr>
            </w:pPr>
            <w:r>
              <w:rPr>
                <w:rFonts w:ascii="Muli" w:eastAsia="Muli" w:hAnsi="Muli" w:cs="Muli"/>
                <w:b/>
                <w:sz w:val="20"/>
                <w:szCs w:val="20"/>
              </w:rPr>
              <w:lastRenderedPageBreak/>
              <w:t>Driving Question Sequ</w:t>
            </w:r>
            <w:r>
              <w:rPr>
                <w:rFonts w:ascii="Muli" w:eastAsia="Muli" w:hAnsi="Muli" w:cs="Muli"/>
                <w:b/>
                <w:sz w:val="20"/>
                <w:szCs w:val="20"/>
              </w:rPr>
              <w:t>ence</w:t>
            </w:r>
          </w:p>
          <w:p w14:paraId="3B4D7421" w14:textId="77777777" w:rsidR="00975ED1" w:rsidRDefault="00B81A63">
            <w:pPr>
              <w:pStyle w:val="normal0"/>
              <w:rPr>
                <w:rFonts w:ascii="Muli" w:eastAsia="Muli" w:hAnsi="Muli" w:cs="Muli"/>
                <w:b/>
                <w:sz w:val="20"/>
                <w:szCs w:val="20"/>
              </w:rPr>
            </w:pPr>
            <w:r>
              <w:rPr>
                <w:rFonts w:ascii="Muli" w:eastAsia="Muli" w:hAnsi="Muli" w:cs="Muli"/>
                <w:sz w:val="20"/>
                <w:szCs w:val="20"/>
              </w:rPr>
              <w:t xml:space="preserve">Each </w:t>
            </w:r>
            <w:r>
              <w:rPr>
                <w:rFonts w:ascii="Muli" w:eastAsia="Muli" w:hAnsi="Muli" w:cs="Muli"/>
                <w:b/>
                <w:color w:val="FF126D"/>
                <w:sz w:val="20"/>
                <w:szCs w:val="20"/>
              </w:rPr>
              <w:t>Driving Question Divider</w:t>
            </w:r>
            <w:r>
              <w:rPr>
                <w:rFonts w:ascii="Muli" w:eastAsia="Muli" w:hAnsi="Muli" w:cs="Muli"/>
                <w:sz w:val="20"/>
                <w:szCs w:val="20"/>
              </w:rPr>
              <w:t xml:space="preserve"> tells the story of how the students will sequentially use the three dimensions to answer the question posed. For example, in DQ2, students plan and carry out different investigations into pushes and pulls, and analyze the</w:t>
            </w:r>
            <w:r>
              <w:rPr>
                <w:rFonts w:ascii="Muli" w:eastAsia="Muli" w:hAnsi="Muli" w:cs="Muli"/>
                <w:sz w:val="20"/>
                <w:szCs w:val="20"/>
              </w:rPr>
              <w:t xml:space="preserve">ir data to see how the results change between investigations. This knowledge helps them establish an answer to the DQ: How can we get marbles where we want them? </w:t>
            </w:r>
          </w:p>
        </w:tc>
        <w:tc>
          <w:tcPr>
            <w:tcW w:w="4665" w:type="dxa"/>
            <w:shd w:val="clear" w:color="auto" w:fill="FFFFFF"/>
            <w:tcMar>
              <w:top w:w="99" w:type="dxa"/>
              <w:left w:w="99" w:type="dxa"/>
              <w:bottom w:w="99" w:type="dxa"/>
              <w:right w:w="99" w:type="dxa"/>
            </w:tcMar>
          </w:tcPr>
          <w:p w14:paraId="256CF60C" w14:textId="77777777" w:rsidR="00975ED1" w:rsidRDefault="00B81A63">
            <w:pPr>
              <w:pStyle w:val="normal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4363B718" wp14:editId="6373DB59">
                  <wp:extent cx="2439987" cy="2867191"/>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2439987" cy="2867191"/>
                          </a:xfrm>
                          <a:prstGeom prst="rect">
                            <a:avLst/>
                          </a:prstGeom>
                          <a:ln/>
                        </pic:spPr>
                      </pic:pic>
                    </a:graphicData>
                  </a:graphic>
                </wp:inline>
              </w:drawing>
            </w:r>
          </w:p>
          <w:p w14:paraId="6027FEF4" w14:textId="77777777" w:rsidR="00975ED1" w:rsidRDefault="00B81A63">
            <w:pPr>
              <w:pStyle w:val="normal0"/>
              <w:rPr>
                <w:rFonts w:ascii="Muli" w:eastAsia="Muli" w:hAnsi="Muli" w:cs="Muli"/>
                <w:b/>
                <w:color w:val="FF126D"/>
                <w:sz w:val="20"/>
                <w:szCs w:val="20"/>
              </w:rPr>
            </w:pPr>
            <w:r>
              <w:rPr>
                <w:rFonts w:ascii="Muli" w:eastAsia="Muli" w:hAnsi="Muli" w:cs="Muli"/>
                <w:b/>
                <w:color w:val="FF126D"/>
                <w:sz w:val="20"/>
                <w:szCs w:val="20"/>
              </w:rPr>
              <w:t>Driving Question Divider</w:t>
            </w:r>
          </w:p>
        </w:tc>
      </w:tr>
      <w:tr w:rsidR="00975ED1" w14:paraId="44B9917E" w14:textId="77777777">
        <w:trPr>
          <w:trHeight w:val="2140"/>
        </w:trPr>
        <w:tc>
          <w:tcPr>
            <w:tcW w:w="9345" w:type="dxa"/>
            <w:shd w:val="clear" w:color="auto" w:fill="FFFFFF"/>
            <w:tcMar>
              <w:top w:w="99" w:type="dxa"/>
              <w:left w:w="99" w:type="dxa"/>
              <w:bottom w:w="99" w:type="dxa"/>
              <w:right w:w="99" w:type="dxa"/>
            </w:tcMar>
          </w:tcPr>
          <w:p w14:paraId="5A258B92" w14:textId="77777777" w:rsidR="00975ED1" w:rsidRDefault="00B81A63">
            <w:pPr>
              <w:pStyle w:val="normal0"/>
              <w:rPr>
                <w:rFonts w:ascii="Muli" w:eastAsia="Muli" w:hAnsi="Muli" w:cs="Muli"/>
                <w:b/>
                <w:sz w:val="20"/>
                <w:szCs w:val="20"/>
              </w:rPr>
            </w:pPr>
            <w:r>
              <w:rPr>
                <w:rFonts w:ascii="Muli" w:eastAsia="Muli" w:hAnsi="Muli" w:cs="Muli"/>
                <w:b/>
                <w:sz w:val="20"/>
                <w:szCs w:val="20"/>
              </w:rPr>
              <w:t xml:space="preserve">Lesson Sequence </w:t>
            </w:r>
          </w:p>
          <w:p w14:paraId="6D683A7A" w14:textId="77777777" w:rsidR="00975ED1" w:rsidRDefault="00B81A63">
            <w:pPr>
              <w:pStyle w:val="normal0"/>
              <w:ind w:right="90"/>
              <w:rPr>
                <w:rFonts w:ascii="Muli" w:eastAsia="Muli" w:hAnsi="Muli" w:cs="Muli"/>
                <w:sz w:val="20"/>
                <w:szCs w:val="20"/>
              </w:rPr>
            </w:pPr>
            <w:r>
              <w:rPr>
                <w:rFonts w:ascii="Muli" w:eastAsia="Muli" w:hAnsi="Muli" w:cs="Muli"/>
                <w:sz w:val="20"/>
                <w:szCs w:val="20"/>
              </w:rPr>
              <w:t>The five-part Twig Science</w:t>
            </w:r>
            <w:r>
              <w:rPr>
                <w:rFonts w:ascii="Muli" w:eastAsia="Muli" w:hAnsi="Muli" w:cs="Muli"/>
                <w:b/>
                <w:color w:val="FF126D"/>
                <w:sz w:val="20"/>
                <w:szCs w:val="20"/>
              </w:rPr>
              <w:t xml:space="preserve"> Lesson Overview</w:t>
            </w:r>
            <w:r>
              <w:rPr>
                <w:rFonts w:ascii="Muli" w:eastAsia="Muli" w:hAnsi="Muli" w:cs="Muli"/>
                <w:sz w:val="20"/>
                <w:szCs w:val="20"/>
              </w:rPr>
              <w:t xml:space="preserve"> has been designed to support students to monitor </w:t>
            </w:r>
            <w:r>
              <w:rPr>
                <w:rFonts w:ascii="Muli" w:eastAsia="Muli" w:hAnsi="Muli" w:cs="Muli"/>
                <w:b/>
                <w:sz w:val="20"/>
                <w:szCs w:val="20"/>
              </w:rPr>
              <w:t xml:space="preserve">what </w:t>
            </w:r>
            <w:r>
              <w:rPr>
                <w:rFonts w:ascii="Muli" w:eastAsia="Muli" w:hAnsi="Muli" w:cs="Muli"/>
                <w:sz w:val="20"/>
                <w:szCs w:val="20"/>
              </w:rPr>
              <w:t xml:space="preserve">and </w:t>
            </w:r>
            <w:r>
              <w:rPr>
                <w:rFonts w:ascii="Muli" w:eastAsia="Muli" w:hAnsi="Muli" w:cs="Muli"/>
                <w:b/>
                <w:sz w:val="20"/>
                <w:szCs w:val="20"/>
              </w:rPr>
              <w:t xml:space="preserve">how </w:t>
            </w:r>
            <w:r>
              <w:rPr>
                <w:rFonts w:ascii="Muli" w:eastAsia="Muli" w:hAnsi="Muli" w:cs="Muli"/>
                <w:sz w:val="20"/>
                <w:szCs w:val="20"/>
              </w:rPr>
              <w:t xml:space="preserve">they have learned across the three dimensions on a daily basis.  </w:t>
            </w:r>
          </w:p>
          <w:p w14:paraId="52983D60" w14:textId="77777777" w:rsidR="00975ED1" w:rsidRDefault="00B81A63">
            <w:pPr>
              <w:pStyle w:val="normal0"/>
              <w:ind w:right="90"/>
              <w:rPr>
                <w:rFonts w:ascii="Muli" w:eastAsia="Muli" w:hAnsi="Muli" w:cs="Muli"/>
                <w:sz w:val="20"/>
                <w:szCs w:val="20"/>
              </w:rPr>
            </w:pPr>
            <w:r>
              <w:rPr>
                <w:rFonts w:ascii="Muli" w:eastAsia="Muli" w:hAnsi="Muli" w:cs="Muli"/>
                <w:b/>
                <w:sz w:val="20"/>
                <w:szCs w:val="20"/>
              </w:rPr>
              <w:t>Spark</w:t>
            </w:r>
            <w:r>
              <w:rPr>
                <w:rFonts w:ascii="Muli" w:eastAsia="Muli" w:hAnsi="Muli" w:cs="Muli"/>
                <w:sz w:val="20"/>
                <w:szCs w:val="20"/>
              </w:rPr>
              <w:t>: An engaging hook activity motivates students for the investigations ahead.</w:t>
            </w:r>
          </w:p>
          <w:p w14:paraId="35776ACF" w14:textId="77777777" w:rsidR="00975ED1" w:rsidRDefault="00B81A63">
            <w:pPr>
              <w:pStyle w:val="normal0"/>
              <w:ind w:right="90"/>
              <w:rPr>
                <w:rFonts w:ascii="Muli" w:eastAsia="Muli" w:hAnsi="Muli" w:cs="Muli"/>
                <w:sz w:val="20"/>
                <w:szCs w:val="20"/>
              </w:rPr>
            </w:pPr>
            <w:r>
              <w:rPr>
                <w:rFonts w:ascii="Muli" w:eastAsia="Muli" w:hAnsi="Muli" w:cs="Muli"/>
                <w:b/>
                <w:sz w:val="20"/>
                <w:szCs w:val="20"/>
              </w:rPr>
              <w:t>Investigate:</w:t>
            </w:r>
            <w:r>
              <w:rPr>
                <w:rFonts w:ascii="Muli" w:eastAsia="Muli" w:hAnsi="Muli" w:cs="Muli"/>
                <w:sz w:val="20"/>
                <w:szCs w:val="20"/>
              </w:rPr>
              <w:t xml:space="preserve"> Students think like scientists a</w:t>
            </w:r>
            <w:r>
              <w:rPr>
                <w:rFonts w:ascii="Muli" w:eastAsia="Muli" w:hAnsi="Muli" w:cs="Muli"/>
                <w:sz w:val="20"/>
                <w:szCs w:val="20"/>
              </w:rPr>
              <w:t xml:space="preserve">nd design like engineers through hands-on, digital, video, and informational text investigations. </w:t>
            </w:r>
          </w:p>
          <w:p w14:paraId="4149665C" w14:textId="77777777" w:rsidR="00975ED1" w:rsidRDefault="00B81A63">
            <w:pPr>
              <w:pStyle w:val="normal0"/>
              <w:ind w:right="90"/>
              <w:rPr>
                <w:rFonts w:ascii="Muli" w:eastAsia="Muli" w:hAnsi="Muli" w:cs="Muli"/>
                <w:sz w:val="20"/>
                <w:szCs w:val="20"/>
              </w:rPr>
            </w:pPr>
            <w:r>
              <w:rPr>
                <w:rFonts w:ascii="Muli" w:eastAsia="Muli" w:hAnsi="Muli" w:cs="Muli"/>
                <w:b/>
                <w:sz w:val="20"/>
                <w:szCs w:val="20"/>
              </w:rPr>
              <w:t>Report:</w:t>
            </w:r>
            <w:r>
              <w:rPr>
                <w:rFonts w:ascii="Muli" w:eastAsia="Muli" w:hAnsi="Muli" w:cs="Muli"/>
                <w:sz w:val="20"/>
                <w:szCs w:val="20"/>
              </w:rPr>
              <w:t xml:space="preserve"> Students articulate what they’ve learned, citing evidence and their use of the three dimensions.</w:t>
            </w:r>
          </w:p>
          <w:p w14:paraId="37E8A520" w14:textId="77777777" w:rsidR="00975ED1" w:rsidRDefault="00B81A63">
            <w:pPr>
              <w:pStyle w:val="normal0"/>
              <w:ind w:right="90"/>
              <w:rPr>
                <w:rFonts w:ascii="Muli" w:eastAsia="Muli" w:hAnsi="Muli" w:cs="Muli"/>
                <w:sz w:val="20"/>
                <w:szCs w:val="20"/>
              </w:rPr>
            </w:pPr>
            <w:r>
              <w:rPr>
                <w:rFonts w:ascii="Muli" w:eastAsia="Muli" w:hAnsi="Muli" w:cs="Muli"/>
                <w:b/>
                <w:sz w:val="20"/>
                <w:szCs w:val="20"/>
              </w:rPr>
              <w:t>Connect:</w:t>
            </w:r>
            <w:r>
              <w:rPr>
                <w:rFonts w:ascii="Muli" w:eastAsia="Muli" w:hAnsi="Muli" w:cs="Muli"/>
                <w:sz w:val="20"/>
                <w:szCs w:val="20"/>
              </w:rPr>
              <w:t xml:space="preserve"> Students make connections to the DQs and Module Phenomenon while building knowledge of CCCs and SEPs.</w:t>
            </w:r>
          </w:p>
          <w:p w14:paraId="73137DF6" w14:textId="77777777" w:rsidR="00975ED1" w:rsidRDefault="00B81A63">
            <w:pPr>
              <w:pStyle w:val="normal0"/>
              <w:ind w:right="90"/>
              <w:rPr>
                <w:rFonts w:ascii="Muli" w:eastAsia="Muli" w:hAnsi="Muli" w:cs="Muli"/>
                <w:sz w:val="20"/>
                <w:szCs w:val="20"/>
              </w:rPr>
            </w:pPr>
            <w:r>
              <w:rPr>
                <w:rFonts w:ascii="Muli" w:eastAsia="Muli" w:hAnsi="Muli" w:cs="Muli"/>
                <w:b/>
                <w:sz w:val="20"/>
                <w:szCs w:val="20"/>
              </w:rPr>
              <w:t>Reflect:</w:t>
            </w:r>
            <w:r>
              <w:rPr>
                <w:rFonts w:ascii="Muli" w:eastAsia="Muli" w:hAnsi="Muli" w:cs="Muli"/>
                <w:sz w:val="20"/>
                <w:szCs w:val="20"/>
              </w:rPr>
              <w:t xml:space="preserve"> Here students use different means to think about what they have learned so far and how they can use their new understandings to better figure ou</w:t>
            </w:r>
            <w:r>
              <w:rPr>
                <w:rFonts w:ascii="Muli" w:eastAsia="Muli" w:hAnsi="Muli" w:cs="Muli"/>
                <w:sz w:val="20"/>
                <w:szCs w:val="20"/>
              </w:rPr>
              <w:t>t phenomena/problems.</w:t>
            </w:r>
          </w:p>
        </w:tc>
        <w:tc>
          <w:tcPr>
            <w:tcW w:w="4665" w:type="dxa"/>
            <w:shd w:val="clear" w:color="auto" w:fill="FFFFFF"/>
            <w:tcMar>
              <w:top w:w="99" w:type="dxa"/>
              <w:left w:w="99" w:type="dxa"/>
              <w:bottom w:w="99" w:type="dxa"/>
              <w:right w:w="99" w:type="dxa"/>
            </w:tcMar>
          </w:tcPr>
          <w:p w14:paraId="4DD42F31" w14:textId="77777777" w:rsidR="00975ED1" w:rsidRDefault="00B81A63">
            <w:pPr>
              <w:pStyle w:val="normal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6EB2D80B" wp14:editId="5E1721B8">
                  <wp:extent cx="2828925" cy="1219200"/>
                  <wp:effectExtent l="12700" t="12700" r="12700" b="1270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2828925" cy="1219200"/>
                          </a:xfrm>
                          <a:prstGeom prst="rect">
                            <a:avLst/>
                          </a:prstGeom>
                          <a:ln w="12700">
                            <a:solidFill>
                              <a:srgbClr val="CCCCCC"/>
                            </a:solidFill>
                            <a:prstDash val="solid"/>
                          </a:ln>
                        </pic:spPr>
                      </pic:pic>
                    </a:graphicData>
                  </a:graphic>
                </wp:inline>
              </w:drawing>
            </w:r>
          </w:p>
          <w:p w14:paraId="60234922" w14:textId="77777777" w:rsidR="00975ED1" w:rsidRDefault="00B81A63">
            <w:pPr>
              <w:pStyle w:val="normal0"/>
              <w:ind w:right="90"/>
              <w:rPr>
                <w:rFonts w:ascii="Muli" w:eastAsia="Muli" w:hAnsi="Muli" w:cs="Muli"/>
                <w:b/>
                <w:color w:val="FF126D"/>
                <w:sz w:val="20"/>
                <w:szCs w:val="20"/>
              </w:rPr>
            </w:pPr>
            <w:r>
              <w:rPr>
                <w:rFonts w:ascii="Muli" w:eastAsia="Muli" w:hAnsi="Muli" w:cs="Muli"/>
                <w:b/>
                <w:color w:val="FF126D"/>
                <w:sz w:val="20"/>
                <w:szCs w:val="20"/>
              </w:rPr>
              <w:t xml:space="preserve"> Lesson Overview</w:t>
            </w:r>
          </w:p>
        </w:tc>
      </w:tr>
      <w:tr w:rsidR="00975ED1" w14:paraId="1FD9E9F5" w14:textId="77777777">
        <w:trPr>
          <w:trHeight w:val="2140"/>
        </w:trPr>
        <w:tc>
          <w:tcPr>
            <w:tcW w:w="9345" w:type="dxa"/>
            <w:tcBorders>
              <w:left w:val="single" w:sz="6" w:space="0" w:color="000000"/>
            </w:tcBorders>
            <w:shd w:val="clear" w:color="auto" w:fill="FFFFFF"/>
            <w:tcMar>
              <w:top w:w="99" w:type="dxa"/>
              <w:left w:w="99" w:type="dxa"/>
              <w:bottom w:w="99" w:type="dxa"/>
              <w:right w:w="99" w:type="dxa"/>
            </w:tcMar>
          </w:tcPr>
          <w:p w14:paraId="1E0F5715" w14:textId="77777777" w:rsidR="00975ED1" w:rsidRDefault="00B81A63">
            <w:pPr>
              <w:pStyle w:val="normal0"/>
              <w:ind w:right="90"/>
              <w:rPr>
                <w:rFonts w:ascii="Muli" w:eastAsia="Muli" w:hAnsi="Muli" w:cs="Muli"/>
                <w:b/>
                <w:color w:val="333333"/>
                <w:sz w:val="20"/>
                <w:szCs w:val="20"/>
                <w:highlight w:val="white"/>
              </w:rPr>
            </w:pPr>
            <w:r>
              <w:rPr>
                <w:rFonts w:ascii="Muli" w:eastAsia="Muli" w:hAnsi="Muli" w:cs="Muli"/>
                <w:sz w:val="20"/>
                <w:szCs w:val="20"/>
              </w:rPr>
              <w:lastRenderedPageBreak/>
              <w:t>Each Lesson Overview includes the lesson’s targeted standards, the 3-D Learning Objectives, and a brief summary of each lesson section with suggested pacing.</w:t>
            </w:r>
          </w:p>
          <w:p w14:paraId="4D8C7EF8" w14:textId="77777777" w:rsidR="00975ED1" w:rsidRDefault="00975ED1">
            <w:pPr>
              <w:pStyle w:val="normal0"/>
              <w:ind w:right="90"/>
              <w:rPr>
                <w:rFonts w:ascii="Muli" w:eastAsia="Muli" w:hAnsi="Muli" w:cs="Muli"/>
                <w:b/>
                <w:color w:val="333333"/>
                <w:sz w:val="20"/>
                <w:szCs w:val="20"/>
                <w:highlight w:val="white"/>
              </w:rPr>
            </w:pPr>
          </w:p>
          <w:p w14:paraId="21EFCEBB" w14:textId="77777777" w:rsidR="00975ED1" w:rsidRDefault="00B81A63">
            <w:pPr>
              <w:pStyle w:val="normal0"/>
              <w:ind w:right="90"/>
              <w:rPr>
                <w:rFonts w:ascii="Muli" w:eastAsia="Muli" w:hAnsi="Muli" w:cs="Muli"/>
                <w:color w:val="0000FF"/>
                <w:sz w:val="20"/>
                <w:szCs w:val="20"/>
              </w:rPr>
            </w:pPr>
            <w:r>
              <w:rPr>
                <w:rFonts w:ascii="Muli" w:eastAsia="Muli" w:hAnsi="Muli" w:cs="Muli"/>
                <w:sz w:val="20"/>
                <w:szCs w:val="20"/>
              </w:rPr>
              <w:t xml:space="preserve">For example, in </w:t>
            </w:r>
            <w:r>
              <w:rPr>
                <w:rFonts w:ascii="Muli" w:eastAsia="Muli" w:hAnsi="Muli" w:cs="Muli"/>
                <w:b/>
                <w:color w:val="FF126D"/>
                <w:sz w:val="20"/>
                <w:szCs w:val="20"/>
              </w:rPr>
              <w:t xml:space="preserve">DQ1L2 (TE p. 14) </w:t>
            </w:r>
            <w:r>
              <w:rPr>
                <w:rFonts w:ascii="Muli" w:eastAsia="Muli" w:hAnsi="Muli" w:cs="Muli"/>
                <w:sz w:val="20"/>
                <w:szCs w:val="20"/>
              </w:rPr>
              <w:t>students will become m</w:t>
            </w:r>
            <w:r>
              <w:rPr>
                <w:rFonts w:ascii="Muli" w:eastAsia="Muli" w:hAnsi="Muli" w:cs="Muli"/>
                <w:sz w:val="20"/>
                <w:szCs w:val="20"/>
              </w:rPr>
              <w:t xml:space="preserve">otivated by listening to a read-aloud in the </w:t>
            </w:r>
            <w:r>
              <w:rPr>
                <w:rFonts w:ascii="Muli" w:eastAsia="Muli" w:hAnsi="Muli" w:cs="Muli"/>
                <w:b/>
                <w:sz w:val="20"/>
                <w:szCs w:val="20"/>
              </w:rPr>
              <w:t>Spark</w:t>
            </w:r>
            <w:r>
              <w:rPr>
                <w:rFonts w:ascii="Muli" w:eastAsia="Muli" w:hAnsi="Muli" w:cs="Muli"/>
                <w:sz w:val="20"/>
                <w:szCs w:val="20"/>
              </w:rPr>
              <w:t xml:space="preserve">, before they </w:t>
            </w:r>
            <w:r>
              <w:rPr>
                <w:rFonts w:ascii="Muli" w:eastAsia="Muli" w:hAnsi="Muli" w:cs="Muli"/>
                <w:b/>
                <w:sz w:val="20"/>
                <w:szCs w:val="20"/>
              </w:rPr>
              <w:t>Investigate</w:t>
            </w:r>
            <w:r>
              <w:rPr>
                <w:rFonts w:ascii="Muli" w:eastAsia="Muli" w:hAnsi="Muli" w:cs="Muli"/>
                <w:sz w:val="20"/>
                <w:szCs w:val="20"/>
              </w:rPr>
              <w:t xml:space="preserve"> objects in the classroom that can be pushed or pulled. They will </w:t>
            </w:r>
            <w:r>
              <w:rPr>
                <w:rFonts w:ascii="Muli" w:eastAsia="Muli" w:hAnsi="Muli" w:cs="Muli"/>
                <w:b/>
                <w:sz w:val="20"/>
                <w:szCs w:val="20"/>
              </w:rPr>
              <w:t>Report</w:t>
            </w:r>
            <w:r>
              <w:rPr>
                <w:rFonts w:ascii="Muli" w:eastAsia="Muli" w:hAnsi="Muli" w:cs="Muli"/>
                <w:sz w:val="20"/>
                <w:szCs w:val="20"/>
              </w:rPr>
              <w:t xml:space="preserve"> their findings to the class, </w:t>
            </w:r>
            <w:r>
              <w:rPr>
                <w:rFonts w:ascii="Muli" w:eastAsia="Muli" w:hAnsi="Muli" w:cs="Muli"/>
                <w:b/>
                <w:sz w:val="20"/>
                <w:szCs w:val="20"/>
              </w:rPr>
              <w:t>Connect</w:t>
            </w:r>
            <w:r>
              <w:rPr>
                <w:rFonts w:ascii="Muli" w:eastAsia="Muli" w:hAnsi="Muli" w:cs="Muli"/>
                <w:sz w:val="20"/>
                <w:szCs w:val="20"/>
              </w:rPr>
              <w:t xml:space="preserve"> their learning to the Module Phenomenon and SEP-5, and use what they ha</w:t>
            </w:r>
            <w:r>
              <w:rPr>
                <w:rFonts w:ascii="Muli" w:eastAsia="Muli" w:hAnsi="Muli" w:cs="Muli"/>
                <w:sz w:val="20"/>
                <w:szCs w:val="20"/>
              </w:rPr>
              <w:t xml:space="preserve">ve learned to </w:t>
            </w:r>
            <w:r>
              <w:rPr>
                <w:rFonts w:ascii="Muli" w:eastAsia="Muli" w:hAnsi="Muli" w:cs="Muli"/>
                <w:b/>
                <w:sz w:val="20"/>
                <w:szCs w:val="20"/>
              </w:rPr>
              <w:t>Reflect</w:t>
            </w:r>
            <w:r>
              <w:rPr>
                <w:rFonts w:ascii="Muli" w:eastAsia="Muli" w:hAnsi="Muli" w:cs="Muli"/>
                <w:sz w:val="20"/>
                <w:szCs w:val="20"/>
              </w:rPr>
              <w:t xml:space="preserve"> on which of two images shows a pull. </w:t>
            </w:r>
          </w:p>
          <w:p w14:paraId="07DA9F39" w14:textId="77777777" w:rsidR="00975ED1" w:rsidRDefault="00975ED1">
            <w:pPr>
              <w:pStyle w:val="normal0"/>
              <w:rPr>
                <w:rFonts w:ascii="Muli" w:eastAsia="Muli" w:hAnsi="Muli" w:cs="Muli"/>
                <w:sz w:val="20"/>
                <w:szCs w:val="20"/>
                <w:shd w:val="clear" w:color="auto" w:fill="EA9999"/>
              </w:rPr>
            </w:pPr>
          </w:p>
          <w:p w14:paraId="691B0587" w14:textId="77777777" w:rsidR="00975ED1" w:rsidRDefault="00B81A63">
            <w:pPr>
              <w:pStyle w:val="normal0"/>
              <w:rPr>
                <w:rFonts w:ascii="Muli" w:eastAsia="Muli" w:hAnsi="Muli" w:cs="Muli"/>
                <w:b/>
                <w:sz w:val="20"/>
                <w:szCs w:val="20"/>
              </w:rPr>
            </w:pPr>
            <w:r>
              <w:rPr>
                <w:rFonts w:ascii="Muli" w:eastAsia="Muli" w:hAnsi="Muli" w:cs="Muli"/>
                <w:b/>
                <w:sz w:val="20"/>
                <w:szCs w:val="20"/>
              </w:rPr>
              <w:t xml:space="preserve">Flow of DCIs </w:t>
            </w:r>
          </w:p>
          <w:p w14:paraId="4CAFF23F" w14:textId="77777777" w:rsidR="00975ED1" w:rsidRDefault="00B81A63">
            <w:pPr>
              <w:pStyle w:val="normal0"/>
              <w:rPr>
                <w:rFonts w:ascii="Muli" w:eastAsia="Muli" w:hAnsi="Muli" w:cs="Muli"/>
                <w:sz w:val="20"/>
                <w:szCs w:val="20"/>
              </w:rPr>
            </w:pPr>
            <w:r>
              <w:rPr>
                <w:rFonts w:ascii="Muli" w:eastAsia="Muli" w:hAnsi="Muli" w:cs="Muli"/>
                <w:sz w:val="20"/>
                <w:szCs w:val="20"/>
              </w:rPr>
              <w:t>The DCIs follow a logical sequence, supporting students to gain the knowledge they need to address the Module Phenomenon.</w:t>
            </w:r>
          </w:p>
          <w:p w14:paraId="14ED2B70" w14:textId="77777777" w:rsidR="00975ED1" w:rsidRDefault="00975ED1">
            <w:pPr>
              <w:pStyle w:val="normal0"/>
              <w:rPr>
                <w:rFonts w:ascii="Muli" w:eastAsia="Muli" w:hAnsi="Muli" w:cs="Muli"/>
                <w:sz w:val="20"/>
                <w:szCs w:val="20"/>
              </w:rPr>
            </w:pPr>
          </w:p>
          <w:p w14:paraId="69A82547" w14:textId="77777777" w:rsidR="00975ED1" w:rsidRDefault="00B81A63">
            <w:pPr>
              <w:pStyle w:val="normal0"/>
              <w:numPr>
                <w:ilvl w:val="0"/>
                <w:numId w:val="3"/>
              </w:numPr>
              <w:contextualSpacing/>
              <w:rPr>
                <w:rFonts w:ascii="Muli" w:eastAsia="Muli" w:hAnsi="Muli" w:cs="Muli"/>
                <w:sz w:val="20"/>
                <w:szCs w:val="20"/>
              </w:rPr>
            </w:pPr>
            <w:r>
              <w:rPr>
                <w:rFonts w:ascii="Muli" w:eastAsia="Muli" w:hAnsi="Muli" w:cs="Muli"/>
                <w:sz w:val="20"/>
                <w:szCs w:val="20"/>
              </w:rPr>
              <w:t>In DQ1, students define and delimit an engineering problem (ETS1.A), before investigating forces and motion (PS2.A) and the relationship between energy and forces (PS3.C).</w:t>
            </w:r>
          </w:p>
          <w:p w14:paraId="72AAFA78" w14:textId="77777777" w:rsidR="00975ED1" w:rsidRDefault="00B81A63">
            <w:pPr>
              <w:pStyle w:val="normal0"/>
              <w:numPr>
                <w:ilvl w:val="0"/>
                <w:numId w:val="3"/>
              </w:numPr>
              <w:contextualSpacing/>
              <w:rPr>
                <w:rFonts w:ascii="Muli" w:eastAsia="Muli" w:hAnsi="Muli" w:cs="Muli"/>
                <w:sz w:val="20"/>
                <w:szCs w:val="20"/>
              </w:rPr>
            </w:pPr>
            <w:r>
              <w:rPr>
                <w:rFonts w:ascii="Muli" w:eastAsia="Muli" w:hAnsi="Muli" w:cs="Muli"/>
                <w:sz w:val="20"/>
                <w:szCs w:val="20"/>
              </w:rPr>
              <w:t>In DQ2, students continue investigating forces and motion (PS2.A) and the relationsh</w:t>
            </w:r>
            <w:r>
              <w:rPr>
                <w:rFonts w:ascii="Muli" w:eastAsia="Muli" w:hAnsi="Muli" w:cs="Muli"/>
                <w:sz w:val="20"/>
                <w:szCs w:val="20"/>
              </w:rPr>
              <w:t>ip between energy and forces (PS3.C). They also investigate and analyze different types of interactions (PS2.B).</w:t>
            </w:r>
          </w:p>
          <w:p w14:paraId="2457BA18" w14:textId="77777777" w:rsidR="00975ED1" w:rsidRDefault="00B81A63">
            <w:pPr>
              <w:pStyle w:val="normal0"/>
              <w:numPr>
                <w:ilvl w:val="0"/>
                <w:numId w:val="3"/>
              </w:numPr>
              <w:contextualSpacing/>
              <w:rPr>
                <w:rFonts w:ascii="Muli" w:eastAsia="Muli" w:hAnsi="Muli" w:cs="Muli"/>
                <w:sz w:val="20"/>
                <w:szCs w:val="20"/>
              </w:rPr>
            </w:pPr>
            <w:r>
              <w:rPr>
                <w:rFonts w:ascii="Muli" w:eastAsia="Muli" w:hAnsi="Muli" w:cs="Muli"/>
                <w:sz w:val="20"/>
                <w:szCs w:val="20"/>
              </w:rPr>
              <w:t>In DQ3, students define and delimit an engineering problem (ETS1.A) and utilize their knowledge of forces and motion (PS2.A), types of interact</w:t>
            </w:r>
            <w:r>
              <w:rPr>
                <w:rFonts w:ascii="Muli" w:eastAsia="Muli" w:hAnsi="Muli" w:cs="Muli"/>
                <w:sz w:val="20"/>
                <w:szCs w:val="20"/>
              </w:rPr>
              <w:t>ions (PS2.B), and the relationship between energy and forces (PS3.C) to solve the problem.</w:t>
            </w:r>
          </w:p>
          <w:p w14:paraId="548ADECB" w14:textId="77777777" w:rsidR="00975ED1" w:rsidRDefault="00975ED1">
            <w:pPr>
              <w:pStyle w:val="normal0"/>
              <w:rPr>
                <w:rFonts w:ascii="Muli" w:eastAsia="Muli" w:hAnsi="Muli" w:cs="Muli"/>
                <w:sz w:val="20"/>
                <w:szCs w:val="20"/>
                <w:shd w:val="clear" w:color="auto" w:fill="EA9999"/>
              </w:rPr>
            </w:pPr>
          </w:p>
          <w:p w14:paraId="6E91F4CC" w14:textId="77777777" w:rsidR="00975ED1" w:rsidRDefault="00B81A63">
            <w:pPr>
              <w:pStyle w:val="normal0"/>
              <w:rPr>
                <w:rFonts w:ascii="Muli" w:eastAsia="Muli" w:hAnsi="Muli" w:cs="Muli"/>
                <w:b/>
                <w:sz w:val="20"/>
                <w:szCs w:val="20"/>
              </w:rPr>
            </w:pPr>
            <w:r>
              <w:rPr>
                <w:rFonts w:ascii="Muli" w:eastAsia="Muli" w:hAnsi="Muli" w:cs="Muli"/>
                <w:b/>
                <w:sz w:val="20"/>
                <w:szCs w:val="20"/>
              </w:rPr>
              <w:t>Flow of SEPs and CCCs</w:t>
            </w:r>
          </w:p>
          <w:p w14:paraId="70693B41" w14:textId="77777777" w:rsidR="00975ED1" w:rsidRDefault="00B81A63">
            <w:pPr>
              <w:pStyle w:val="normal0"/>
              <w:rPr>
                <w:rFonts w:ascii="Muli" w:eastAsia="Muli" w:hAnsi="Muli" w:cs="Muli"/>
                <w:sz w:val="20"/>
                <w:szCs w:val="20"/>
              </w:rPr>
            </w:pPr>
            <w:r>
              <w:rPr>
                <w:rFonts w:ascii="Muli" w:eastAsia="Muli" w:hAnsi="Muli" w:cs="Muli"/>
                <w:sz w:val="20"/>
                <w:szCs w:val="20"/>
              </w:rPr>
              <w:t>The SEPs and CCCs follow a logical sequence supporting students to gain expertise of the practices and concepts they need to address the Modul</w:t>
            </w:r>
            <w:r>
              <w:rPr>
                <w:rFonts w:ascii="Muli" w:eastAsia="Muli" w:hAnsi="Muli" w:cs="Muli"/>
                <w:sz w:val="20"/>
                <w:szCs w:val="20"/>
              </w:rPr>
              <w:t>e Phenomenon.</w:t>
            </w:r>
          </w:p>
          <w:p w14:paraId="10132447" w14:textId="77777777" w:rsidR="00975ED1" w:rsidRDefault="00975ED1">
            <w:pPr>
              <w:pStyle w:val="normal0"/>
              <w:rPr>
                <w:rFonts w:ascii="Muli" w:eastAsia="Muli" w:hAnsi="Muli" w:cs="Muli"/>
                <w:sz w:val="20"/>
                <w:szCs w:val="20"/>
                <w:shd w:val="clear" w:color="auto" w:fill="EA9999"/>
              </w:rPr>
            </w:pPr>
          </w:p>
          <w:p w14:paraId="49636E6A" w14:textId="77777777" w:rsidR="00975ED1" w:rsidRDefault="00B81A63">
            <w:pPr>
              <w:pStyle w:val="normal0"/>
              <w:numPr>
                <w:ilvl w:val="0"/>
                <w:numId w:val="5"/>
              </w:numPr>
              <w:contextualSpacing/>
              <w:rPr>
                <w:rFonts w:ascii="Muli" w:eastAsia="Muli" w:hAnsi="Muli" w:cs="Muli"/>
                <w:sz w:val="20"/>
                <w:szCs w:val="20"/>
              </w:rPr>
            </w:pPr>
            <w:r>
              <w:rPr>
                <w:rFonts w:ascii="Muli" w:eastAsia="Muli" w:hAnsi="Muli" w:cs="Muli"/>
                <w:sz w:val="20"/>
                <w:szCs w:val="20"/>
              </w:rPr>
              <w:t>In DQ1, students ask questions and define problems (SEP-1) relating to motion, and plan and carry out investigations (SEP-3). They analyze and interpret their data (SEP-4), using mathematics and computational thinking (SEP-5), and consider c</w:t>
            </w:r>
            <w:r>
              <w:rPr>
                <w:rFonts w:ascii="Muli" w:eastAsia="Muli" w:hAnsi="Muli" w:cs="Muli"/>
                <w:sz w:val="20"/>
                <w:szCs w:val="20"/>
              </w:rPr>
              <w:t>ause and effect (CCC-2). They obtain, evaluate, and communicate information (SEP-8) about forces and motion.</w:t>
            </w:r>
          </w:p>
          <w:p w14:paraId="068FC24F" w14:textId="77777777" w:rsidR="00975ED1" w:rsidRDefault="00B81A63">
            <w:pPr>
              <w:pStyle w:val="normal0"/>
              <w:numPr>
                <w:ilvl w:val="0"/>
                <w:numId w:val="5"/>
              </w:numPr>
              <w:contextualSpacing/>
              <w:rPr>
                <w:rFonts w:ascii="Muli" w:eastAsia="Muli" w:hAnsi="Muli" w:cs="Muli"/>
                <w:sz w:val="20"/>
                <w:szCs w:val="20"/>
              </w:rPr>
            </w:pPr>
            <w:r>
              <w:rPr>
                <w:rFonts w:ascii="Muli" w:eastAsia="Muli" w:hAnsi="Muli" w:cs="Muli"/>
                <w:sz w:val="20"/>
                <w:szCs w:val="20"/>
              </w:rPr>
              <w:t xml:space="preserve">In DQ2, students plan and carry out further investigations (SEP-3) into forces and motion. They analyze and interpret their data (SEP-4), relating </w:t>
            </w:r>
            <w:r>
              <w:rPr>
                <w:rFonts w:ascii="Muli" w:eastAsia="Muli" w:hAnsi="Muli" w:cs="Muli"/>
                <w:sz w:val="20"/>
                <w:szCs w:val="20"/>
              </w:rPr>
              <w:t xml:space="preserve">their results to cause and effect (CCC-2). They use their investigation results to engage in argument from </w:t>
            </w:r>
            <w:r>
              <w:rPr>
                <w:rFonts w:ascii="Muli" w:eastAsia="Muli" w:hAnsi="Muli" w:cs="Muli"/>
                <w:sz w:val="20"/>
                <w:szCs w:val="20"/>
              </w:rPr>
              <w:lastRenderedPageBreak/>
              <w:t>evidence (SEP-7). Finally, they develop and use models (SEP-2) to communicate information (SEP-8) that they have learned during the DQ.</w:t>
            </w:r>
          </w:p>
          <w:p w14:paraId="541E1675" w14:textId="77777777" w:rsidR="00975ED1" w:rsidRDefault="00B81A63">
            <w:pPr>
              <w:pStyle w:val="normal0"/>
              <w:numPr>
                <w:ilvl w:val="0"/>
                <w:numId w:val="5"/>
              </w:numPr>
              <w:contextualSpacing/>
              <w:rPr>
                <w:rFonts w:ascii="Muli" w:eastAsia="Muli" w:hAnsi="Muli" w:cs="Muli"/>
                <w:sz w:val="20"/>
                <w:szCs w:val="20"/>
              </w:rPr>
            </w:pPr>
            <w:r>
              <w:rPr>
                <w:rFonts w:ascii="Muli" w:eastAsia="Muli" w:hAnsi="Muli" w:cs="Muli"/>
                <w:sz w:val="20"/>
                <w:szCs w:val="20"/>
              </w:rPr>
              <w:t>In DQ3, stude</w:t>
            </w:r>
            <w:r>
              <w:rPr>
                <w:rFonts w:ascii="Muli" w:eastAsia="Muli" w:hAnsi="Muli" w:cs="Muli"/>
                <w:sz w:val="20"/>
                <w:szCs w:val="20"/>
              </w:rPr>
              <w:t>nts plan and carry out investigations (SEP-3) and analyze and interpret their data (SEP-4), relating it to cause and effect (CCC-2). They use their learning to construct explanations and design solutions (SEP-6). They ask questions and define problems (SEP</w:t>
            </w:r>
            <w:r>
              <w:rPr>
                <w:rFonts w:ascii="Muli" w:eastAsia="Muli" w:hAnsi="Muli" w:cs="Muli"/>
                <w:sz w:val="20"/>
                <w:szCs w:val="20"/>
              </w:rPr>
              <w:t>-1) and develop and use models (SEP-2) as they design and build their marble runs. Finally, they communicate their learning (SEP-8).</w:t>
            </w:r>
          </w:p>
        </w:tc>
        <w:tc>
          <w:tcPr>
            <w:tcW w:w="4665" w:type="dxa"/>
            <w:shd w:val="clear" w:color="auto" w:fill="FFFFFF"/>
            <w:tcMar>
              <w:top w:w="99" w:type="dxa"/>
              <w:left w:w="99" w:type="dxa"/>
              <w:bottom w:w="99" w:type="dxa"/>
              <w:right w:w="99" w:type="dxa"/>
            </w:tcMar>
          </w:tcPr>
          <w:p w14:paraId="21506477" w14:textId="77777777" w:rsidR="00975ED1" w:rsidRDefault="00B81A63">
            <w:pPr>
              <w:pStyle w:val="normal0"/>
              <w:rPr>
                <w:sz w:val="20"/>
                <w:szCs w:val="20"/>
              </w:rPr>
            </w:pPr>
            <w:r>
              <w:rPr>
                <w:noProof/>
                <w:sz w:val="20"/>
                <w:szCs w:val="20"/>
              </w:rPr>
              <w:lastRenderedPageBreak/>
              <w:drawing>
                <wp:inline distT="114300" distB="114300" distL="114300" distR="114300" wp14:anchorId="38757646" wp14:editId="0D471A86">
                  <wp:extent cx="2828925" cy="347980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2828925" cy="3479800"/>
                          </a:xfrm>
                          <a:prstGeom prst="rect">
                            <a:avLst/>
                          </a:prstGeom>
                          <a:ln/>
                        </pic:spPr>
                      </pic:pic>
                    </a:graphicData>
                  </a:graphic>
                </wp:inline>
              </w:drawing>
            </w:r>
          </w:p>
          <w:p w14:paraId="242AFA88" w14:textId="77777777" w:rsidR="00975ED1" w:rsidRDefault="00B81A63">
            <w:pPr>
              <w:pStyle w:val="normal0"/>
              <w:ind w:right="90"/>
              <w:rPr>
                <w:sz w:val="20"/>
                <w:szCs w:val="20"/>
              </w:rPr>
            </w:pPr>
            <w:r>
              <w:rPr>
                <w:rFonts w:ascii="Muli" w:eastAsia="Muli" w:hAnsi="Muli" w:cs="Muli"/>
                <w:b/>
                <w:color w:val="FF126D"/>
                <w:sz w:val="20"/>
                <w:szCs w:val="20"/>
              </w:rPr>
              <w:t>DQ1L2 TE p. 14</w:t>
            </w:r>
          </w:p>
        </w:tc>
      </w:tr>
    </w:tbl>
    <w:p w14:paraId="05F1187A" w14:textId="77777777" w:rsidR="00975ED1" w:rsidRDefault="00975ED1">
      <w:pPr>
        <w:pStyle w:val="normal0"/>
        <w:pBdr>
          <w:top w:val="nil"/>
          <w:left w:val="nil"/>
          <w:bottom w:val="nil"/>
          <w:right w:val="nil"/>
          <w:between w:val="nil"/>
        </w:pBdr>
        <w:rPr>
          <w:color w:val="000000"/>
          <w:sz w:val="16"/>
          <w:szCs w:val="16"/>
        </w:rPr>
      </w:pPr>
    </w:p>
    <w:sectPr w:rsidR="00975ED1">
      <w:headerReference w:type="default" r:id="rId18"/>
      <w:footerReference w:type="even" r:id="rId19"/>
      <w:footerReference w:type="default" r:id="rId20"/>
      <w:headerReference w:type="first" r:id="rId21"/>
      <w:footerReference w:type="first" r:id="rId22"/>
      <w:pgSz w:w="15840" w:h="12240"/>
      <w:pgMar w:top="1140" w:right="540" w:bottom="640" w:left="680" w:header="360" w:footer="443" w:gutter="0"/>
      <w:pgNumType w:start="1"/>
      <w:cols w:space="720" w:equalWidth="0">
        <w:col w:w="14620" w:space="0"/>
      </w:cols>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B1A449" w14:textId="77777777" w:rsidR="00000000" w:rsidRDefault="00B81A63">
      <w:r>
        <w:separator/>
      </w:r>
    </w:p>
  </w:endnote>
  <w:endnote w:type="continuationSeparator" w:id="0">
    <w:p w14:paraId="6CDBB184" w14:textId="77777777" w:rsidR="00000000" w:rsidRDefault="00B81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uli">
    <w:panose1 w:val="02000503000000000000"/>
    <w:charset w:val="00"/>
    <w:family w:val="auto"/>
    <w:pitch w:val="variable"/>
    <w:sig w:usb0="A00000EF" w:usb1="4000204B" w:usb2="00000000" w:usb3="00000000" w:csb0="00000093"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3C3FC" w14:textId="77777777" w:rsidR="00B81A63" w:rsidRDefault="00B81A63" w:rsidP="004E27D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49905C" w14:textId="77777777" w:rsidR="00B81A63" w:rsidRDefault="00B81A63" w:rsidP="00B81A6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26B9E" w14:textId="77777777" w:rsidR="00B81A63" w:rsidRDefault="00B81A63" w:rsidP="004E27D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23F082D8" w14:textId="77777777" w:rsidR="00975ED1" w:rsidRDefault="00975ED1" w:rsidP="00B81A63">
    <w:pPr>
      <w:pStyle w:val="normal0"/>
      <w:pBdr>
        <w:top w:val="nil"/>
        <w:left w:val="nil"/>
        <w:bottom w:val="nil"/>
        <w:right w:val="nil"/>
        <w:between w:val="nil"/>
      </w:pBdr>
      <w:ind w:right="360"/>
      <w:rPr>
        <w:color w:val="000000"/>
        <w:sz w:val="20"/>
        <w:szCs w:val="20"/>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7E17AF" w14:textId="77777777" w:rsidR="00975ED1" w:rsidRDefault="00975ED1">
    <w:pPr>
      <w:pStyle w:val="normal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D137E7" w14:textId="77777777" w:rsidR="00000000" w:rsidRDefault="00B81A63">
      <w:r>
        <w:separator/>
      </w:r>
    </w:p>
  </w:footnote>
  <w:footnote w:type="continuationSeparator" w:id="0">
    <w:p w14:paraId="44A2558F" w14:textId="77777777" w:rsidR="00000000" w:rsidRDefault="00B81A6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729CD" w14:textId="77777777" w:rsidR="00975ED1" w:rsidRDefault="00B81A63">
    <w:pPr>
      <w:pStyle w:val="normal0"/>
    </w:pPr>
    <w:r>
      <w:rPr>
        <w:noProof/>
      </w:rPr>
      <w:drawing>
        <wp:anchor distT="0" distB="0" distL="0" distR="0" simplePos="0" relativeHeight="251658240" behindDoc="0" locked="0" layoutInCell="1" hidden="0" allowOverlap="1" wp14:anchorId="490E7370" wp14:editId="4A6F71EB">
          <wp:simplePos x="0" y="0"/>
          <wp:positionH relativeFrom="column">
            <wp:posOffset>7778750</wp:posOffset>
          </wp:positionH>
          <wp:positionV relativeFrom="paragraph">
            <wp:posOffset>-19049</wp:posOffset>
          </wp:positionV>
          <wp:extent cx="1504950" cy="360045"/>
          <wp:effectExtent l="0" t="0" r="0" b="0"/>
          <wp:wrapTopAndBottom distT="0" dist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1280" t="17512" r="77687" b="17586"/>
                  <a:stretch>
                    <a:fillRect/>
                  </a:stretch>
                </pic:blipFill>
                <pic:spPr>
                  <a:xfrm>
                    <a:off x="0" y="0"/>
                    <a:ext cx="1504950" cy="360045"/>
                  </a:xfrm>
                  <a:prstGeom prst="rect">
                    <a:avLst/>
                  </a:prstGeom>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93474" w14:textId="77777777" w:rsidR="00975ED1" w:rsidRDefault="00B81A63">
    <w:pPr>
      <w:pStyle w:val="normal0"/>
    </w:pPr>
    <w:r>
      <w:rPr>
        <w:noProof/>
      </w:rPr>
      <w:drawing>
        <wp:anchor distT="0" distB="0" distL="0" distR="0" simplePos="0" relativeHeight="251659264" behindDoc="0" locked="0" layoutInCell="1" hidden="0" allowOverlap="1" wp14:anchorId="3072233B" wp14:editId="25BE66A0">
          <wp:simplePos x="0" y="0"/>
          <wp:positionH relativeFrom="column">
            <wp:posOffset>-277811</wp:posOffset>
          </wp:positionH>
          <wp:positionV relativeFrom="paragraph">
            <wp:posOffset>-133349</wp:posOffset>
          </wp:positionV>
          <wp:extent cx="9834563" cy="1411705"/>
          <wp:effectExtent l="0" t="0" r="0" b="0"/>
          <wp:wrapSquare wrapText="bothSides" distT="0" distB="0" distL="0" distR="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9834563" cy="1411705"/>
                  </a:xfrm>
                  <a:prstGeom prst="rect">
                    <a:avLst/>
                  </a:prstGeom>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338C2"/>
    <w:multiLevelType w:val="multilevel"/>
    <w:tmpl w:val="5E5C79BC"/>
    <w:lvl w:ilvl="0">
      <w:start w:val="1"/>
      <w:numFmt w:val="decimal"/>
      <w:lvlText w:val="%1."/>
      <w:lvlJc w:val="left"/>
      <w:pPr>
        <w:ind w:left="1393" w:hanging="404"/>
      </w:pPr>
      <w:rPr>
        <w:rFonts w:ascii="Calibri" w:eastAsia="Calibri" w:hAnsi="Calibri" w:cs="Calibri"/>
        <w:b/>
        <w:sz w:val="20"/>
        <w:szCs w:val="20"/>
      </w:rPr>
    </w:lvl>
    <w:lvl w:ilvl="1">
      <w:numFmt w:val="bullet"/>
      <w:lvlText w:val="•"/>
      <w:lvlJc w:val="left"/>
      <w:pPr>
        <w:ind w:left="2722" w:hanging="404"/>
      </w:pPr>
    </w:lvl>
    <w:lvl w:ilvl="2">
      <w:numFmt w:val="bullet"/>
      <w:lvlText w:val="•"/>
      <w:lvlJc w:val="left"/>
      <w:pPr>
        <w:ind w:left="4044" w:hanging="404"/>
      </w:pPr>
    </w:lvl>
    <w:lvl w:ilvl="3">
      <w:numFmt w:val="bullet"/>
      <w:lvlText w:val="•"/>
      <w:lvlJc w:val="left"/>
      <w:pPr>
        <w:ind w:left="5366" w:hanging="404"/>
      </w:pPr>
    </w:lvl>
    <w:lvl w:ilvl="4">
      <w:numFmt w:val="bullet"/>
      <w:lvlText w:val="•"/>
      <w:lvlJc w:val="left"/>
      <w:pPr>
        <w:ind w:left="6688" w:hanging="404"/>
      </w:pPr>
    </w:lvl>
    <w:lvl w:ilvl="5">
      <w:numFmt w:val="bullet"/>
      <w:lvlText w:val="•"/>
      <w:lvlJc w:val="left"/>
      <w:pPr>
        <w:ind w:left="8010" w:hanging="404"/>
      </w:pPr>
    </w:lvl>
    <w:lvl w:ilvl="6">
      <w:numFmt w:val="bullet"/>
      <w:lvlText w:val="•"/>
      <w:lvlJc w:val="left"/>
      <w:pPr>
        <w:ind w:left="9332" w:hanging="404"/>
      </w:pPr>
    </w:lvl>
    <w:lvl w:ilvl="7">
      <w:numFmt w:val="bullet"/>
      <w:lvlText w:val="•"/>
      <w:lvlJc w:val="left"/>
      <w:pPr>
        <w:ind w:left="10654" w:hanging="404"/>
      </w:pPr>
    </w:lvl>
    <w:lvl w:ilvl="8">
      <w:numFmt w:val="bullet"/>
      <w:lvlText w:val="•"/>
      <w:lvlJc w:val="left"/>
      <w:pPr>
        <w:ind w:left="11976" w:hanging="404"/>
      </w:pPr>
    </w:lvl>
  </w:abstractNum>
  <w:abstractNum w:abstractNumId="1">
    <w:nsid w:val="0E0A458F"/>
    <w:multiLevelType w:val="multilevel"/>
    <w:tmpl w:val="86CCE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E1C0A02"/>
    <w:multiLevelType w:val="multilevel"/>
    <w:tmpl w:val="565A4378"/>
    <w:lvl w:ilvl="0">
      <w:numFmt w:val="bullet"/>
      <w:lvlText w:val="●"/>
      <w:lvlJc w:val="left"/>
      <w:pPr>
        <w:ind w:left="446" w:hanging="360"/>
      </w:pPr>
      <w:rPr>
        <w:rFonts w:ascii="Arial" w:eastAsia="Arial" w:hAnsi="Arial" w:cs="Arial"/>
        <w:sz w:val="18"/>
        <w:szCs w:val="18"/>
      </w:rPr>
    </w:lvl>
    <w:lvl w:ilvl="1">
      <w:numFmt w:val="bullet"/>
      <w:lvlText w:val="•"/>
      <w:lvlJc w:val="left"/>
      <w:pPr>
        <w:ind w:left="1004" w:hanging="360"/>
      </w:pPr>
    </w:lvl>
    <w:lvl w:ilvl="2">
      <w:numFmt w:val="bullet"/>
      <w:lvlText w:val="•"/>
      <w:lvlJc w:val="left"/>
      <w:pPr>
        <w:ind w:left="1568" w:hanging="360"/>
      </w:pPr>
    </w:lvl>
    <w:lvl w:ilvl="3">
      <w:numFmt w:val="bullet"/>
      <w:lvlText w:val="•"/>
      <w:lvlJc w:val="left"/>
      <w:pPr>
        <w:ind w:left="2132" w:hanging="360"/>
      </w:pPr>
    </w:lvl>
    <w:lvl w:ilvl="4">
      <w:numFmt w:val="bullet"/>
      <w:lvlText w:val="•"/>
      <w:lvlJc w:val="left"/>
      <w:pPr>
        <w:ind w:left="2696" w:hanging="360"/>
      </w:pPr>
    </w:lvl>
    <w:lvl w:ilvl="5">
      <w:numFmt w:val="bullet"/>
      <w:lvlText w:val="•"/>
      <w:lvlJc w:val="left"/>
      <w:pPr>
        <w:ind w:left="3260" w:hanging="360"/>
      </w:pPr>
    </w:lvl>
    <w:lvl w:ilvl="6">
      <w:numFmt w:val="bullet"/>
      <w:lvlText w:val="•"/>
      <w:lvlJc w:val="left"/>
      <w:pPr>
        <w:ind w:left="3824" w:hanging="360"/>
      </w:pPr>
    </w:lvl>
    <w:lvl w:ilvl="7">
      <w:numFmt w:val="bullet"/>
      <w:lvlText w:val="•"/>
      <w:lvlJc w:val="left"/>
      <w:pPr>
        <w:ind w:left="4388" w:hanging="360"/>
      </w:pPr>
    </w:lvl>
    <w:lvl w:ilvl="8">
      <w:numFmt w:val="bullet"/>
      <w:lvlText w:val="•"/>
      <w:lvlJc w:val="left"/>
      <w:pPr>
        <w:ind w:left="4952" w:hanging="360"/>
      </w:pPr>
    </w:lvl>
  </w:abstractNum>
  <w:abstractNum w:abstractNumId="3">
    <w:nsid w:val="1C7C720D"/>
    <w:multiLevelType w:val="multilevel"/>
    <w:tmpl w:val="503C7B10"/>
    <w:lvl w:ilvl="0">
      <w:numFmt w:val="bullet"/>
      <w:lvlText w:val="●"/>
      <w:lvlJc w:val="left"/>
      <w:pPr>
        <w:ind w:left="446" w:hanging="360"/>
      </w:pPr>
      <w:rPr>
        <w:rFonts w:ascii="Arial" w:eastAsia="Arial" w:hAnsi="Arial" w:cs="Arial"/>
        <w:sz w:val="18"/>
        <w:szCs w:val="18"/>
      </w:rPr>
    </w:lvl>
    <w:lvl w:ilvl="1">
      <w:numFmt w:val="bullet"/>
      <w:lvlText w:val="•"/>
      <w:lvlJc w:val="left"/>
      <w:pPr>
        <w:ind w:left="1004" w:hanging="360"/>
      </w:pPr>
    </w:lvl>
    <w:lvl w:ilvl="2">
      <w:numFmt w:val="bullet"/>
      <w:lvlText w:val="•"/>
      <w:lvlJc w:val="left"/>
      <w:pPr>
        <w:ind w:left="1568" w:hanging="360"/>
      </w:pPr>
    </w:lvl>
    <w:lvl w:ilvl="3">
      <w:numFmt w:val="bullet"/>
      <w:lvlText w:val="•"/>
      <w:lvlJc w:val="left"/>
      <w:pPr>
        <w:ind w:left="2132" w:hanging="360"/>
      </w:pPr>
    </w:lvl>
    <w:lvl w:ilvl="4">
      <w:numFmt w:val="bullet"/>
      <w:lvlText w:val="•"/>
      <w:lvlJc w:val="left"/>
      <w:pPr>
        <w:ind w:left="2696" w:hanging="360"/>
      </w:pPr>
    </w:lvl>
    <w:lvl w:ilvl="5">
      <w:numFmt w:val="bullet"/>
      <w:lvlText w:val="•"/>
      <w:lvlJc w:val="left"/>
      <w:pPr>
        <w:ind w:left="3260" w:hanging="360"/>
      </w:pPr>
    </w:lvl>
    <w:lvl w:ilvl="6">
      <w:numFmt w:val="bullet"/>
      <w:lvlText w:val="•"/>
      <w:lvlJc w:val="left"/>
      <w:pPr>
        <w:ind w:left="3824" w:hanging="360"/>
      </w:pPr>
    </w:lvl>
    <w:lvl w:ilvl="7">
      <w:numFmt w:val="bullet"/>
      <w:lvlText w:val="•"/>
      <w:lvlJc w:val="left"/>
      <w:pPr>
        <w:ind w:left="4388" w:hanging="360"/>
      </w:pPr>
    </w:lvl>
    <w:lvl w:ilvl="8">
      <w:numFmt w:val="bullet"/>
      <w:lvlText w:val="•"/>
      <w:lvlJc w:val="left"/>
      <w:pPr>
        <w:ind w:left="4952" w:hanging="360"/>
      </w:pPr>
    </w:lvl>
  </w:abstractNum>
  <w:abstractNum w:abstractNumId="4">
    <w:nsid w:val="4A0E317F"/>
    <w:multiLevelType w:val="multilevel"/>
    <w:tmpl w:val="391E8F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4A974CAE"/>
    <w:multiLevelType w:val="multilevel"/>
    <w:tmpl w:val="04B851BC"/>
    <w:lvl w:ilvl="0">
      <w:numFmt w:val="bullet"/>
      <w:lvlText w:val="●"/>
      <w:lvlJc w:val="left"/>
      <w:pPr>
        <w:ind w:left="446" w:hanging="360"/>
      </w:pPr>
      <w:rPr>
        <w:rFonts w:ascii="Arial" w:eastAsia="Arial" w:hAnsi="Arial" w:cs="Arial"/>
        <w:sz w:val="18"/>
        <w:szCs w:val="18"/>
      </w:rPr>
    </w:lvl>
    <w:lvl w:ilvl="1">
      <w:numFmt w:val="bullet"/>
      <w:lvlText w:val="•"/>
      <w:lvlJc w:val="left"/>
      <w:pPr>
        <w:ind w:left="1004" w:hanging="360"/>
      </w:pPr>
    </w:lvl>
    <w:lvl w:ilvl="2">
      <w:numFmt w:val="bullet"/>
      <w:lvlText w:val="•"/>
      <w:lvlJc w:val="left"/>
      <w:pPr>
        <w:ind w:left="1568" w:hanging="360"/>
      </w:pPr>
    </w:lvl>
    <w:lvl w:ilvl="3">
      <w:numFmt w:val="bullet"/>
      <w:lvlText w:val="•"/>
      <w:lvlJc w:val="left"/>
      <w:pPr>
        <w:ind w:left="2132" w:hanging="360"/>
      </w:pPr>
    </w:lvl>
    <w:lvl w:ilvl="4">
      <w:numFmt w:val="bullet"/>
      <w:lvlText w:val="•"/>
      <w:lvlJc w:val="left"/>
      <w:pPr>
        <w:ind w:left="2696" w:hanging="360"/>
      </w:pPr>
    </w:lvl>
    <w:lvl w:ilvl="5">
      <w:numFmt w:val="bullet"/>
      <w:lvlText w:val="•"/>
      <w:lvlJc w:val="left"/>
      <w:pPr>
        <w:ind w:left="3260" w:hanging="360"/>
      </w:pPr>
    </w:lvl>
    <w:lvl w:ilvl="6">
      <w:numFmt w:val="bullet"/>
      <w:lvlText w:val="•"/>
      <w:lvlJc w:val="left"/>
      <w:pPr>
        <w:ind w:left="3824" w:hanging="360"/>
      </w:pPr>
    </w:lvl>
    <w:lvl w:ilvl="7">
      <w:numFmt w:val="bullet"/>
      <w:lvlText w:val="•"/>
      <w:lvlJc w:val="left"/>
      <w:pPr>
        <w:ind w:left="4388" w:hanging="360"/>
      </w:pPr>
    </w:lvl>
    <w:lvl w:ilvl="8">
      <w:numFmt w:val="bullet"/>
      <w:lvlText w:val="•"/>
      <w:lvlJc w:val="left"/>
      <w:pPr>
        <w:ind w:left="4952" w:hanging="360"/>
      </w:pPr>
    </w:lvl>
  </w:abstractNum>
  <w:abstractNum w:abstractNumId="6">
    <w:nsid w:val="57B80290"/>
    <w:multiLevelType w:val="multilevel"/>
    <w:tmpl w:val="D9228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583B0DB9"/>
    <w:multiLevelType w:val="multilevel"/>
    <w:tmpl w:val="585425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6A7020DF"/>
    <w:multiLevelType w:val="multilevel"/>
    <w:tmpl w:val="9A88B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4"/>
  </w:num>
  <w:num w:numId="3">
    <w:abstractNumId w:val="7"/>
  </w:num>
  <w:num w:numId="4">
    <w:abstractNumId w:val="6"/>
  </w:num>
  <w:num w:numId="5">
    <w:abstractNumId w:val="1"/>
  </w:num>
  <w:num w:numId="6">
    <w:abstractNumId w:val="0"/>
  </w:num>
  <w:num w:numId="7">
    <w:abstractNumId w:val="5"/>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75ED1"/>
    <w:rsid w:val="00975ED1"/>
    <w:rsid w:val="00B81A63"/>
    <w:rsid w:val="00D579D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B7D0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D579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79D4"/>
    <w:rPr>
      <w:rFonts w:ascii="Lucida Grande" w:hAnsi="Lucida Grande" w:cs="Lucida Grande"/>
      <w:sz w:val="18"/>
      <w:szCs w:val="18"/>
    </w:rPr>
  </w:style>
  <w:style w:type="paragraph" w:styleId="Footer">
    <w:name w:val="footer"/>
    <w:basedOn w:val="Normal"/>
    <w:link w:val="FooterChar"/>
    <w:uiPriority w:val="99"/>
    <w:unhideWhenUsed/>
    <w:rsid w:val="00B81A63"/>
    <w:pPr>
      <w:tabs>
        <w:tab w:val="center" w:pos="4320"/>
        <w:tab w:val="right" w:pos="8640"/>
      </w:tabs>
    </w:pPr>
  </w:style>
  <w:style w:type="character" w:customStyle="1" w:styleId="FooterChar">
    <w:name w:val="Footer Char"/>
    <w:basedOn w:val="DefaultParagraphFont"/>
    <w:link w:val="Footer"/>
    <w:uiPriority w:val="99"/>
    <w:rsid w:val="00B81A63"/>
  </w:style>
  <w:style w:type="character" w:styleId="PageNumber">
    <w:name w:val="page number"/>
    <w:basedOn w:val="DefaultParagraphFont"/>
    <w:uiPriority w:val="99"/>
    <w:semiHidden/>
    <w:unhideWhenUsed/>
    <w:rsid w:val="00B81A6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D579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79D4"/>
    <w:rPr>
      <w:rFonts w:ascii="Lucida Grande" w:hAnsi="Lucida Grande" w:cs="Lucida Grande"/>
      <w:sz w:val="18"/>
      <w:szCs w:val="18"/>
    </w:rPr>
  </w:style>
  <w:style w:type="paragraph" w:styleId="Footer">
    <w:name w:val="footer"/>
    <w:basedOn w:val="Normal"/>
    <w:link w:val="FooterChar"/>
    <w:uiPriority w:val="99"/>
    <w:unhideWhenUsed/>
    <w:rsid w:val="00B81A63"/>
    <w:pPr>
      <w:tabs>
        <w:tab w:val="center" w:pos="4320"/>
        <w:tab w:val="right" w:pos="8640"/>
      </w:tabs>
    </w:pPr>
  </w:style>
  <w:style w:type="character" w:customStyle="1" w:styleId="FooterChar">
    <w:name w:val="Footer Char"/>
    <w:basedOn w:val="DefaultParagraphFont"/>
    <w:link w:val="Footer"/>
    <w:uiPriority w:val="99"/>
    <w:rsid w:val="00B81A63"/>
  </w:style>
  <w:style w:type="character" w:styleId="PageNumber">
    <w:name w:val="page number"/>
    <w:basedOn w:val="DefaultParagraphFont"/>
    <w:uiPriority w:val="99"/>
    <w:semiHidden/>
    <w:unhideWhenUsed/>
    <w:rsid w:val="00B81A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oter" Target="footer2.xml"/><Relationship Id="rId21" Type="http://schemas.openxmlformats.org/officeDocument/2006/relationships/header" Target="header2.xml"/><Relationship Id="rId22" Type="http://schemas.openxmlformats.org/officeDocument/2006/relationships/footer" Target="footer3.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2072</Words>
  <Characters>11811</Characters>
  <Application>Microsoft Macintosh Word</Application>
  <DocSecurity>0</DocSecurity>
  <Lines>98</Lines>
  <Paragraphs>27</Paragraphs>
  <ScaleCrop>false</ScaleCrop>
  <Company/>
  <LinksUpToDate>false</LinksUpToDate>
  <CharactersWithSpaces>13856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Saxon Argue</cp:lastModifiedBy>
  <cp:revision>3</cp:revision>
  <dcterms:created xsi:type="dcterms:W3CDTF">2018-11-28T13:10:00Z</dcterms:created>
  <dcterms:modified xsi:type="dcterms:W3CDTF">2018-11-28T13:11:00Z</dcterms:modified>
</cp:coreProperties>
</file>