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6A68F" w14:textId="77777777" w:rsidR="003959B7" w:rsidRDefault="003959B7">
      <w:pPr>
        <w:pStyle w:val="normal0"/>
        <w:spacing w:line="276" w:lineRule="auto"/>
        <w:rPr>
          <w:rFonts w:ascii="Muli" w:eastAsia="Muli" w:hAnsi="Muli" w:cs="Muli"/>
          <w:sz w:val="20"/>
          <w:szCs w:val="20"/>
        </w:rPr>
      </w:pPr>
    </w:p>
    <w:tbl>
      <w:tblPr>
        <w:tblStyle w:val="a"/>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90"/>
      </w:tblGrid>
      <w:tr w:rsidR="003959B7" w14:paraId="03CF5304" w14:textId="77777777" w:rsidTr="00C5473B">
        <w:trPr>
          <w:trHeight w:val="620"/>
        </w:trPr>
        <w:tc>
          <w:tcPr>
            <w:tcW w:w="13890" w:type="dxa"/>
            <w:shd w:val="clear" w:color="auto" w:fill="2F5496"/>
          </w:tcPr>
          <w:p w14:paraId="3B6098B6" w14:textId="2255868F" w:rsidR="003959B7" w:rsidRDefault="00C5473B" w:rsidP="00C5473B">
            <w:pPr>
              <w:pStyle w:val="normal0"/>
              <w:tabs>
                <w:tab w:val="left" w:pos="10616"/>
              </w:tabs>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r>
              <w:rPr>
                <w:rFonts w:ascii="Muli" w:eastAsia="Muli" w:hAnsi="Muli" w:cs="Muli"/>
                <w:b/>
                <w:color w:val="FFFFFF"/>
                <w:sz w:val="24"/>
                <w:szCs w:val="24"/>
              </w:rPr>
              <w:tab/>
            </w:r>
          </w:p>
        </w:tc>
      </w:tr>
    </w:tbl>
    <w:p w14:paraId="43B06C36" w14:textId="77777777" w:rsidR="003959B7" w:rsidRDefault="003959B7">
      <w:pPr>
        <w:pStyle w:val="normal0"/>
        <w:spacing w:before="6" w:after="1"/>
        <w:rPr>
          <w:rFonts w:ascii="Muli" w:eastAsia="Muli" w:hAnsi="Muli" w:cs="Muli"/>
          <w:sz w:val="20"/>
          <w:szCs w:val="20"/>
        </w:rPr>
      </w:pPr>
    </w:p>
    <w:tbl>
      <w:tblPr>
        <w:tblStyle w:val="a0"/>
        <w:tblW w:w="1383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5"/>
        <w:gridCol w:w="1455"/>
        <w:gridCol w:w="1455"/>
        <w:gridCol w:w="1365"/>
      </w:tblGrid>
      <w:tr w:rsidR="003959B7" w14:paraId="357924FA" w14:textId="77777777">
        <w:trPr>
          <w:trHeight w:val="280"/>
        </w:trPr>
        <w:tc>
          <w:tcPr>
            <w:tcW w:w="9555" w:type="dxa"/>
            <w:shd w:val="clear" w:color="auto" w:fill="FF126D"/>
          </w:tcPr>
          <w:p w14:paraId="62343074" w14:textId="77777777" w:rsidR="003959B7" w:rsidRDefault="00C5473B">
            <w:pPr>
              <w:pStyle w:val="normal0"/>
              <w:spacing w:before="27"/>
              <w:ind w:left="107"/>
              <w:rPr>
                <w:rFonts w:ascii="Muli" w:eastAsia="Muli" w:hAnsi="Muli" w:cs="Muli"/>
                <w:sz w:val="20"/>
                <w:szCs w:val="20"/>
              </w:rPr>
            </w:pPr>
            <w:r>
              <w:rPr>
                <w:rFonts w:ascii="Muli" w:eastAsia="Muli" w:hAnsi="Muli" w:cs="Muli"/>
                <w:color w:val="FFFFFF"/>
                <w:sz w:val="20"/>
                <w:szCs w:val="20"/>
              </w:rPr>
              <w:t>Teacher materials…</w:t>
            </w:r>
          </w:p>
        </w:tc>
        <w:tc>
          <w:tcPr>
            <w:tcW w:w="1455" w:type="dxa"/>
            <w:shd w:val="clear" w:color="auto" w:fill="FF126D"/>
          </w:tcPr>
          <w:p w14:paraId="0733AE02" w14:textId="77777777" w:rsidR="003959B7" w:rsidRDefault="00C5473B">
            <w:pPr>
              <w:pStyle w:val="normal0"/>
              <w:spacing w:before="27"/>
              <w:ind w:left="275"/>
              <w:rPr>
                <w:rFonts w:ascii="Muli" w:eastAsia="Muli" w:hAnsi="Muli" w:cs="Muli"/>
                <w:sz w:val="20"/>
                <w:szCs w:val="20"/>
              </w:rPr>
            </w:pPr>
            <w:r>
              <w:rPr>
                <w:rFonts w:ascii="Muli" w:eastAsia="Muli" w:hAnsi="Muli" w:cs="Muli"/>
                <w:color w:val="FFFFFF"/>
                <w:sz w:val="20"/>
                <w:szCs w:val="20"/>
              </w:rPr>
              <w:t>Strong</w:t>
            </w:r>
          </w:p>
        </w:tc>
        <w:tc>
          <w:tcPr>
            <w:tcW w:w="1455" w:type="dxa"/>
            <w:shd w:val="clear" w:color="auto" w:fill="FF126D"/>
          </w:tcPr>
          <w:p w14:paraId="64A72A5D" w14:textId="77777777" w:rsidR="003959B7" w:rsidRDefault="00C5473B">
            <w:pPr>
              <w:pStyle w:val="normal0"/>
              <w:spacing w:before="27"/>
              <w:ind w:left="235"/>
              <w:rPr>
                <w:rFonts w:ascii="Muli" w:eastAsia="Muli" w:hAnsi="Muli" w:cs="Muli"/>
                <w:sz w:val="20"/>
                <w:szCs w:val="20"/>
              </w:rPr>
            </w:pPr>
            <w:r>
              <w:rPr>
                <w:rFonts w:ascii="Muli" w:eastAsia="Muli" w:hAnsi="Muli" w:cs="Muli"/>
                <w:color w:val="FFFFFF"/>
                <w:sz w:val="20"/>
                <w:szCs w:val="20"/>
              </w:rPr>
              <w:t>Adequate</w:t>
            </w:r>
          </w:p>
        </w:tc>
        <w:tc>
          <w:tcPr>
            <w:tcW w:w="1365" w:type="dxa"/>
            <w:shd w:val="clear" w:color="auto" w:fill="FF126D"/>
          </w:tcPr>
          <w:p w14:paraId="7C110EFE" w14:textId="77777777" w:rsidR="003959B7" w:rsidRDefault="00C5473B">
            <w:pPr>
              <w:pStyle w:val="normal0"/>
              <w:spacing w:before="1"/>
              <w:ind w:left="400"/>
              <w:rPr>
                <w:rFonts w:ascii="Muli" w:eastAsia="Muli" w:hAnsi="Muli" w:cs="Muli"/>
                <w:sz w:val="20"/>
                <w:szCs w:val="20"/>
              </w:rPr>
            </w:pPr>
            <w:r>
              <w:rPr>
                <w:rFonts w:ascii="Muli" w:eastAsia="Muli" w:hAnsi="Muli" w:cs="Muli"/>
                <w:color w:val="FFFFFF"/>
                <w:sz w:val="20"/>
                <w:szCs w:val="20"/>
              </w:rPr>
              <w:t>Weak</w:t>
            </w:r>
          </w:p>
        </w:tc>
      </w:tr>
      <w:tr w:rsidR="003959B7" w14:paraId="5655C930" w14:textId="77777777">
        <w:trPr>
          <w:trHeight w:val="620"/>
        </w:trPr>
        <w:tc>
          <w:tcPr>
            <w:tcW w:w="9555" w:type="dxa"/>
          </w:tcPr>
          <w:p w14:paraId="038C6AA8" w14:textId="77777777" w:rsidR="003959B7" w:rsidRDefault="00C5473B">
            <w:pPr>
              <w:pStyle w:val="normal0"/>
              <w:spacing w:before="1"/>
              <w:ind w:left="107" w:right="305"/>
              <w:rPr>
                <w:rFonts w:ascii="Muli" w:eastAsia="Muli" w:hAnsi="Muli" w:cs="Muli"/>
                <w:sz w:val="20"/>
                <w:szCs w:val="20"/>
              </w:rPr>
            </w:pPr>
            <w:r>
              <w:rPr>
                <w:rFonts w:ascii="Muli" w:eastAsia="Muli" w:hAnsi="Muli" w:cs="Muli"/>
                <w:b/>
                <w:sz w:val="20"/>
                <w:szCs w:val="20"/>
              </w:rPr>
              <w:t xml:space="preserve">F1. Presence of Phenomena/Problems. </w:t>
            </w:r>
            <w:r>
              <w:rPr>
                <w:rFonts w:ascii="Muli" w:eastAsia="Muli" w:hAnsi="Muli" w:cs="Muli"/>
                <w:sz w:val="20"/>
                <w:szCs w:val="20"/>
              </w:rPr>
              <w:t>Identify and provide background information about the phenomena/problems in the unit and how they match the targeted learning goals.</w:t>
            </w:r>
          </w:p>
        </w:tc>
        <w:tc>
          <w:tcPr>
            <w:tcW w:w="1455" w:type="dxa"/>
          </w:tcPr>
          <w:p w14:paraId="3CE46EB9"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55" w:type="dxa"/>
          </w:tcPr>
          <w:p w14:paraId="227871D2" w14:textId="77777777" w:rsidR="003959B7" w:rsidRDefault="003959B7">
            <w:pPr>
              <w:pStyle w:val="normal0"/>
              <w:rPr>
                <w:rFonts w:ascii="Muli" w:eastAsia="Muli" w:hAnsi="Muli" w:cs="Muli"/>
                <w:sz w:val="20"/>
                <w:szCs w:val="20"/>
              </w:rPr>
            </w:pPr>
          </w:p>
        </w:tc>
        <w:tc>
          <w:tcPr>
            <w:tcW w:w="1365" w:type="dxa"/>
          </w:tcPr>
          <w:p w14:paraId="01B34B20" w14:textId="77777777" w:rsidR="003959B7" w:rsidRDefault="003959B7">
            <w:pPr>
              <w:pStyle w:val="normal0"/>
              <w:rPr>
                <w:rFonts w:ascii="Muli" w:eastAsia="Muli" w:hAnsi="Muli" w:cs="Muli"/>
                <w:sz w:val="20"/>
                <w:szCs w:val="20"/>
              </w:rPr>
            </w:pPr>
          </w:p>
        </w:tc>
      </w:tr>
      <w:tr w:rsidR="003959B7" w14:paraId="09A47D55" w14:textId="77777777">
        <w:trPr>
          <w:trHeight w:val="295"/>
        </w:trPr>
        <w:tc>
          <w:tcPr>
            <w:tcW w:w="9555" w:type="dxa"/>
            <w:vMerge w:val="restart"/>
            <w:tcBorders>
              <w:bottom w:val="nil"/>
              <w:right w:val="nil"/>
            </w:tcBorders>
          </w:tcPr>
          <w:p w14:paraId="341429FB" w14:textId="77777777" w:rsidR="003959B7" w:rsidRDefault="00C5473B" w:rsidP="003A6F7B">
            <w:pPr>
              <w:pStyle w:val="normal0"/>
              <w:spacing w:before="1"/>
              <w:ind w:left="115" w:right="144" w:hanging="8"/>
              <w:rPr>
                <w:rFonts w:ascii="Muli" w:eastAsia="Muli" w:hAnsi="Muli" w:cs="Muli"/>
                <w:sz w:val="20"/>
                <w:szCs w:val="20"/>
              </w:rPr>
            </w:pPr>
            <w:r>
              <w:rPr>
                <w:rFonts w:ascii="Muli" w:eastAsia="Muli" w:hAnsi="Muli" w:cs="Muli"/>
                <w:b/>
                <w:sz w:val="20"/>
                <w:szCs w:val="20"/>
              </w:rPr>
              <w:t xml:space="preserve">F2. Presence of Three Dimensions. </w:t>
            </w:r>
            <w:r>
              <w:rPr>
                <w:rFonts w:ascii="Muli" w:eastAsia="Muli" w:hAnsi="Muli" w:cs="Muli"/>
                <w:sz w:val="20"/>
                <w:szCs w:val="20"/>
              </w:rPr>
              <w:t xml:space="preserve">Identify and provide background information about the each of the three dimensions in the unit. </w:t>
            </w:r>
          </w:p>
          <w:p w14:paraId="049B501D" w14:textId="77777777" w:rsidR="003959B7" w:rsidRDefault="00C5473B">
            <w:pPr>
              <w:pStyle w:val="normal0"/>
              <w:numPr>
                <w:ilvl w:val="0"/>
                <w:numId w:val="21"/>
              </w:numPr>
              <w:spacing w:before="1"/>
              <w:ind w:right="93"/>
              <w:contextualSpacing/>
              <w:rPr>
                <w:rFonts w:ascii="Muli" w:eastAsia="Muli" w:hAnsi="Muli" w:cs="Muli"/>
                <w:sz w:val="20"/>
                <w:szCs w:val="20"/>
              </w:rPr>
            </w:pPr>
            <w:r>
              <w:rPr>
                <w:rFonts w:ascii="Muli" w:eastAsia="Muli" w:hAnsi="Muli" w:cs="Muli"/>
                <w:sz w:val="20"/>
                <w:szCs w:val="20"/>
              </w:rPr>
              <w:t>the SEPs</w:t>
            </w:r>
          </w:p>
          <w:p w14:paraId="555D186A" w14:textId="77777777" w:rsidR="003959B7" w:rsidRDefault="00C5473B">
            <w:pPr>
              <w:pStyle w:val="normal0"/>
              <w:numPr>
                <w:ilvl w:val="0"/>
                <w:numId w:val="21"/>
              </w:numPr>
              <w:spacing w:before="1"/>
              <w:ind w:right="93"/>
              <w:contextualSpacing/>
              <w:rPr>
                <w:rFonts w:ascii="Muli" w:eastAsia="Muli" w:hAnsi="Muli" w:cs="Muli"/>
                <w:sz w:val="20"/>
                <w:szCs w:val="20"/>
              </w:rPr>
            </w:pPr>
            <w:r>
              <w:rPr>
                <w:rFonts w:ascii="Muli" w:eastAsia="Muli" w:hAnsi="Muli" w:cs="Muli"/>
                <w:sz w:val="20"/>
                <w:szCs w:val="20"/>
              </w:rPr>
              <w:t>the DCIs (including engineering)</w:t>
            </w:r>
          </w:p>
          <w:p w14:paraId="6F7E76F7" w14:textId="77777777" w:rsidR="003959B7" w:rsidRDefault="00C5473B">
            <w:pPr>
              <w:pStyle w:val="normal0"/>
              <w:numPr>
                <w:ilvl w:val="0"/>
                <w:numId w:val="21"/>
              </w:numPr>
              <w:spacing w:before="1"/>
              <w:ind w:right="93"/>
              <w:contextualSpacing/>
              <w:rPr>
                <w:rFonts w:ascii="Muli" w:eastAsia="Muli" w:hAnsi="Muli" w:cs="Muli"/>
                <w:sz w:val="20"/>
                <w:szCs w:val="20"/>
              </w:rPr>
            </w:pPr>
            <w:r>
              <w:rPr>
                <w:rFonts w:ascii="Muli" w:eastAsia="Muli" w:hAnsi="Muli" w:cs="Muli"/>
                <w:sz w:val="20"/>
                <w:szCs w:val="20"/>
              </w:rPr>
              <w:t>the CCCs</w:t>
            </w:r>
          </w:p>
          <w:p w14:paraId="61A6E77A" w14:textId="77777777" w:rsidR="003959B7" w:rsidRDefault="00C5473B">
            <w:pPr>
              <w:pStyle w:val="normal0"/>
              <w:numPr>
                <w:ilvl w:val="0"/>
                <w:numId w:val="21"/>
              </w:numPr>
              <w:spacing w:before="11"/>
              <w:ind w:right="93"/>
              <w:contextualSpacing/>
              <w:rPr>
                <w:rFonts w:ascii="Muli" w:eastAsia="Muli" w:hAnsi="Muli" w:cs="Muli"/>
                <w:sz w:val="20"/>
                <w:szCs w:val="20"/>
              </w:rPr>
            </w:pPr>
            <w:r>
              <w:rPr>
                <w:rFonts w:ascii="Muli" w:eastAsia="Muli" w:hAnsi="Muli" w:cs="Muli"/>
                <w:i/>
                <w:sz w:val="20"/>
                <w:szCs w:val="20"/>
              </w:rPr>
              <w:t xml:space="preserve">also note </w:t>
            </w:r>
            <w:r>
              <w:rPr>
                <w:rFonts w:ascii="Muli" w:eastAsia="Muli" w:hAnsi="Muli" w:cs="Muli"/>
                <w:sz w:val="20"/>
                <w:szCs w:val="20"/>
              </w:rPr>
              <w:t>(NoS/CNS) and Connections to Engineering, Technology and the Applications of Science (ETS/CETAS)</w:t>
            </w:r>
          </w:p>
        </w:tc>
        <w:tc>
          <w:tcPr>
            <w:tcW w:w="1455" w:type="dxa"/>
            <w:vMerge w:val="restart"/>
          </w:tcPr>
          <w:p w14:paraId="5B0B1600"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55" w:type="dxa"/>
            <w:vMerge w:val="restart"/>
          </w:tcPr>
          <w:p w14:paraId="5357E04E" w14:textId="77777777" w:rsidR="003959B7" w:rsidRDefault="003959B7">
            <w:pPr>
              <w:pStyle w:val="normal0"/>
              <w:rPr>
                <w:rFonts w:ascii="Muli" w:eastAsia="Muli" w:hAnsi="Muli" w:cs="Muli"/>
                <w:sz w:val="20"/>
                <w:szCs w:val="20"/>
              </w:rPr>
            </w:pPr>
          </w:p>
        </w:tc>
        <w:tc>
          <w:tcPr>
            <w:tcW w:w="1365" w:type="dxa"/>
            <w:vMerge w:val="restart"/>
          </w:tcPr>
          <w:p w14:paraId="6D44F629" w14:textId="77777777" w:rsidR="003959B7" w:rsidRDefault="003959B7">
            <w:pPr>
              <w:pStyle w:val="normal0"/>
              <w:rPr>
                <w:rFonts w:ascii="Muli" w:eastAsia="Muli" w:hAnsi="Muli" w:cs="Muli"/>
                <w:sz w:val="20"/>
                <w:szCs w:val="20"/>
              </w:rPr>
            </w:pPr>
          </w:p>
        </w:tc>
      </w:tr>
      <w:tr w:rsidR="003959B7" w14:paraId="55701DF6" w14:textId="77777777">
        <w:trPr>
          <w:trHeight w:val="295"/>
        </w:trPr>
        <w:tc>
          <w:tcPr>
            <w:tcW w:w="9555" w:type="dxa"/>
            <w:vMerge/>
            <w:tcBorders>
              <w:bottom w:val="nil"/>
              <w:right w:val="nil"/>
            </w:tcBorders>
          </w:tcPr>
          <w:p w14:paraId="0668D1DE" w14:textId="77777777" w:rsidR="003959B7" w:rsidRDefault="003959B7">
            <w:pPr>
              <w:pStyle w:val="normal0"/>
              <w:rPr>
                <w:rFonts w:ascii="Muli" w:eastAsia="Muli" w:hAnsi="Muli" w:cs="Muli"/>
                <w:sz w:val="20"/>
                <w:szCs w:val="20"/>
              </w:rPr>
            </w:pPr>
          </w:p>
        </w:tc>
        <w:tc>
          <w:tcPr>
            <w:tcW w:w="1455" w:type="dxa"/>
            <w:vMerge/>
          </w:tcPr>
          <w:p w14:paraId="7E47D6A9" w14:textId="77777777" w:rsidR="003959B7" w:rsidRDefault="003959B7">
            <w:pPr>
              <w:pStyle w:val="normal0"/>
              <w:rPr>
                <w:rFonts w:ascii="Muli" w:eastAsia="Muli" w:hAnsi="Muli" w:cs="Muli"/>
                <w:sz w:val="20"/>
                <w:szCs w:val="20"/>
              </w:rPr>
            </w:pPr>
          </w:p>
        </w:tc>
        <w:tc>
          <w:tcPr>
            <w:tcW w:w="1455" w:type="dxa"/>
            <w:vMerge/>
          </w:tcPr>
          <w:p w14:paraId="25030742" w14:textId="77777777" w:rsidR="003959B7" w:rsidRDefault="003959B7">
            <w:pPr>
              <w:pStyle w:val="normal0"/>
              <w:rPr>
                <w:rFonts w:ascii="Muli" w:eastAsia="Muli" w:hAnsi="Muli" w:cs="Muli"/>
                <w:sz w:val="20"/>
                <w:szCs w:val="20"/>
              </w:rPr>
            </w:pPr>
          </w:p>
        </w:tc>
        <w:tc>
          <w:tcPr>
            <w:tcW w:w="1365" w:type="dxa"/>
            <w:vMerge/>
          </w:tcPr>
          <w:p w14:paraId="003A3E2E" w14:textId="77777777" w:rsidR="003959B7" w:rsidRDefault="003959B7">
            <w:pPr>
              <w:pStyle w:val="normal0"/>
              <w:rPr>
                <w:rFonts w:ascii="Muli" w:eastAsia="Muli" w:hAnsi="Muli" w:cs="Muli"/>
                <w:sz w:val="20"/>
                <w:szCs w:val="20"/>
              </w:rPr>
            </w:pPr>
          </w:p>
        </w:tc>
      </w:tr>
      <w:tr w:rsidR="003959B7" w14:paraId="20FC85A8" w14:textId="77777777">
        <w:trPr>
          <w:trHeight w:val="295"/>
        </w:trPr>
        <w:tc>
          <w:tcPr>
            <w:tcW w:w="9555" w:type="dxa"/>
            <w:vMerge/>
            <w:tcBorders>
              <w:bottom w:val="nil"/>
              <w:right w:val="nil"/>
            </w:tcBorders>
          </w:tcPr>
          <w:p w14:paraId="493A4980" w14:textId="77777777" w:rsidR="003959B7" w:rsidRDefault="003959B7">
            <w:pPr>
              <w:pStyle w:val="normal0"/>
              <w:rPr>
                <w:rFonts w:ascii="Muli" w:eastAsia="Muli" w:hAnsi="Muli" w:cs="Muli"/>
                <w:sz w:val="20"/>
                <w:szCs w:val="20"/>
              </w:rPr>
            </w:pPr>
          </w:p>
        </w:tc>
        <w:tc>
          <w:tcPr>
            <w:tcW w:w="1455" w:type="dxa"/>
            <w:vMerge/>
          </w:tcPr>
          <w:p w14:paraId="5C228146" w14:textId="77777777" w:rsidR="003959B7" w:rsidRDefault="003959B7">
            <w:pPr>
              <w:pStyle w:val="normal0"/>
              <w:rPr>
                <w:rFonts w:ascii="Muli" w:eastAsia="Muli" w:hAnsi="Muli" w:cs="Muli"/>
                <w:sz w:val="20"/>
                <w:szCs w:val="20"/>
              </w:rPr>
            </w:pPr>
          </w:p>
        </w:tc>
        <w:tc>
          <w:tcPr>
            <w:tcW w:w="1455" w:type="dxa"/>
            <w:vMerge/>
          </w:tcPr>
          <w:p w14:paraId="32C6491A" w14:textId="77777777" w:rsidR="003959B7" w:rsidRDefault="003959B7">
            <w:pPr>
              <w:pStyle w:val="normal0"/>
              <w:rPr>
                <w:rFonts w:ascii="Muli" w:eastAsia="Muli" w:hAnsi="Muli" w:cs="Muli"/>
                <w:sz w:val="20"/>
                <w:szCs w:val="20"/>
              </w:rPr>
            </w:pPr>
          </w:p>
        </w:tc>
        <w:tc>
          <w:tcPr>
            <w:tcW w:w="1365" w:type="dxa"/>
            <w:vMerge/>
          </w:tcPr>
          <w:p w14:paraId="7BEF28C8" w14:textId="77777777" w:rsidR="003959B7" w:rsidRDefault="003959B7">
            <w:pPr>
              <w:pStyle w:val="normal0"/>
              <w:rPr>
                <w:rFonts w:ascii="Muli" w:eastAsia="Muli" w:hAnsi="Muli" w:cs="Muli"/>
                <w:sz w:val="20"/>
                <w:szCs w:val="20"/>
              </w:rPr>
            </w:pPr>
          </w:p>
        </w:tc>
      </w:tr>
      <w:tr w:rsidR="003959B7" w14:paraId="677A620E" w14:textId="77777777">
        <w:trPr>
          <w:trHeight w:val="295"/>
        </w:trPr>
        <w:tc>
          <w:tcPr>
            <w:tcW w:w="9555" w:type="dxa"/>
            <w:vMerge/>
            <w:tcBorders>
              <w:top w:val="nil"/>
              <w:right w:val="nil"/>
            </w:tcBorders>
          </w:tcPr>
          <w:p w14:paraId="12A04165" w14:textId="77777777" w:rsidR="003959B7" w:rsidRDefault="003959B7">
            <w:pPr>
              <w:pStyle w:val="normal0"/>
              <w:rPr>
                <w:rFonts w:ascii="Muli" w:eastAsia="Muli" w:hAnsi="Muli" w:cs="Muli"/>
                <w:sz w:val="20"/>
                <w:szCs w:val="20"/>
              </w:rPr>
            </w:pPr>
          </w:p>
        </w:tc>
        <w:tc>
          <w:tcPr>
            <w:tcW w:w="1455" w:type="dxa"/>
            <w:vMerge/>
          </w:tcPr>
          <w:p w14:paraId="28F97E7C" w14:textId="77777777" w:rsidR="003959B7" w:rsidRDefault="003959B7">
            <w:pPr>
              <w:pStyle w:val="normal0"/>
              <w:rPr>
                <w:rFonts w:ascii="Muli" w:eastAsia="Muli" w:hAnsi="Muli" w:cs="Muli"/>
                <w:sz w:val="20"/>
                <w:szCs w:val="20"/>
              </w:rPr>
            </w:pPr>
          </w:p>
        </w:tc>
        <w:tc>
          <w:tcPr>
            <w:tcW w:w="1455" w:type="dxa"/>
            <w:vMerge/>
          </w:tcPr>
          <w:p w14:paraId="067616C5" w14:textId="77777777" w:rsidR="003959B7" w:rsidRDefault="003959B7">
            <w:pPr>
              <w:pStyle w:val="normal0"/>
              <w:rPr>
                <w:rFonts w:ascii="Muli" w:eastAsia="Muli" w:hAnsi="Muli" w:cs="Muli"/>
                <w:sz w:val="20"/>
                <w:szCs w:val="20"/>
              </w:rPr>
            </w:pPr>
          </w:p>
        </w:tc>
        <w:tc>
          <w:tcPr>
            <w:tcW w:w="1365" w:type="dxa"/>
            <w:vMerge/>
          </w:tcPr>
          <w:p w14:paraId="7B542E1F" w14:textId="77777777" w:rsidR="003959B7" w:rsidRDefault="003959B7">
            <w:pPr>
              <w:pStyle w:val="normal0"/>
              <w:rPr>
                <w:rFonts w:ascii="Muli" w:eastAsia="Muli" w:hAnsi="Muli" w:cs="Muli"/>
                <w:sz w:val="20"/>
                <w:szCs w:val="20"/>
              </w:rPr>
            </w:pPr>
          </w:p>
        </w:tc>
      </w:tr>
      <w:tr w:rsidR="003959B7" w14:paraId="5077DD4F" w14:textId="77777777">
        <w:trPr>
          <w:trHeight w:val="560"/>
        </w:trPr>
        <w:tc>
          <w:tcPr>
            <w:tcW w:w="9555" w:type="dxa"/>
          </w:tcPr>
          <w:p w14:paraId="5D10AA98" w14:textId="77777777" w:rsidR="003959B7" w:rsidRDefault="00C5473B">
            <w:pPr>
              <w:pStyle w:val="normal0"/>
              <w:spacing w:before="1"/>
              <w:ind w:left="107"/>
              <w:rPr>
                <w:rFonts w:ascii="Muli" w:eastAsia="Muli" w:hAnsi="Muli" w:cs="Muli"/>
                <w:sz w:val="20"/>
                <w:szCs w:val="20"/>
              </w:rPr>
            </w:pPr>
            <w:r>
              <w:rPr>
                <w:rFonts w:ascii="Muli" w:eastAsia="Muli" w:hAnsi="Muli" w:cs="Muli"/>
                <w:b/>
                <w:sz w:val="20"/>
                <w:szCs w:val="20"/>
              </w:rPr>
              <w:t xml:space="preserve">F3. Presence of Logical Sequence. </w:t>
            </w:r>
            <w:r>
              <w:rPr>
                <w:rFonts w:ascii="Muli" w:eastAsia="Muli" w:hAnsi="Muli" w:cs="Muli"/>
                <w:sz w:val="20"/>
                <w:szCs w:val="20"/>
              </w:rPr>
              <w:t>Identify and provide background information on the sequence of learning in the unit.</w:t>
            </w:r>
          </w:p>
        </w:tc>
        <w:tc>
          <w:tcPr>
            <w:tcW w:w="1455" w:type="dxa"/>
          </w:tcPr>
          <w:p w14:paraId="636D7E8E" w14:textId="77777777" w:rsidR="003959B7" w:rsidRDefault="00C5473B">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55" w:type="dxa"/>
          </w:tcPr>
          <w:p w14:paraId="7A9CF8A8" w14:textId="77777777" w:rsidR="003959B7" w:rsidRDefault="003959B7">
            <w:pPr>
              <w:pStyle w:val="normal0"/>
              <w:rPr>
                <w:rFonts w:ascii="Muli" w:eastAsia="Muli" w:hAnsi="Muli" w:cs="Muli"/>
                <w:sz w:val="20"/>
                <w:szCs w:val="20"/>
              </w:rPr>
            </w:pPr>
          </w:p>
        </w:tc>
        <w:tc>
          <w:tcPr>
            <w:tcW w:w="1365" w:type="dxa"/>
          </w:tcPr>
          <w:p w14:paraId="72FC3486" w14:textId="77777777" w:rsidR="003959B7" w:rsidRDefault="003959B7">
            <w:pPr>
              <w:pStyle w:val="normal0"/>
              <w:rPr>
                <w:rFonts w:ascii="Muli" w:eastAsia="Muli" w:hAnsi="Muli" w:cs="Muli"/>
                <w:sz w:val="20"/>
                <w:szCs w:val="20"/>
              </w:rPr>
            </w:pPr>
          </w:p>
        </w:tc>
      </w:tr>
    </w:tbl>
    <w:p w14:paraId="2171F771" w14:textId="77777777" w:rsidR="003959B7" w:rsidRDefault="003959B7">
      <w:pPr>
        <w:pStyle w:val="normal0"/>
        <w:spacing w:line="276" w:lineRule="auto"/>
        <w:rPr>
          <w:rFonts w:ascii="Muli" w:eastAsia="Muli" w:hAnsi="Muli" w:cs="Muli"/>
          <w:sz w:val="20"/>
          <w:szCs w:val="20"/>
        </w:rPr>
      </w:pPr>
    </w:p>
    <w:p w14:paraId="4617E395" w14:textId="77777777" w:rsidR="00C5473B" w:rsidRDefault="00C5473B">
      <w:pPr>
        <w:pStyle w:val="normal0"/>
        <w:spacing w:line="276" w:lineRule="auto"/>
        <w:rPr>
          <w:rFonts w:ascii="Muli" w:eastAsia="Muli" w:hAnsi="Muli" w:cs="Muli"/>
          <w:sz w:val="20"/>
          <w:szCs w:val="20"/>
        </w:rPr>
      </w:pPr>
    </w:p>
    <w:p w14:paraId="1D82977C" w14:textId="77777777" w:rsidR="00C5473B" w:rsidRDefault="00C5473B">
      <w:pPr>
        <w:pStyle w:val="normal0"/>
        <w:spacing w:line="276" w:lineRule="auto"/>
        <w:rPr>
          <w:rFonts w:ascii="Muli" w:eastAsia="Muli" w:hAnsi="Muli" w:cs="Muli"/>
          <w:sz w:val="20"/>
          <w:szCs w:val="20"/>
        </w:rPr>
      </w:pPr>
    </w:p>
    <w:p w14:paraId="35FA270C" w14:textId="77777777" w:rsidR="00C5473B" w:rsidRDefault="00C5473B">
      <w:pPr>
        <w:pStyle w:val="normal0"/>
        <w:spacing w:line="276" w:lineRule="auto"/>
        <w:rPr>
          <w:rFonts w:ascii="Muli" w:eastAsia="Muli" w:hAnsi="Muli" w:cs="Muli"/>
          <w:sz w:val="20"/>
          <w:szCs w:val="20"/>
        </w:rPr>
      </w:pPr>
    </w:p>
    <w:p w14:paraId="58B8B746" w14:textId="77777777" w:rsidR="00C5473B" w:rsidRDefault="00C5473B">
      <w:pPr>
        <w:pStyle w:val="normal0"/>
        <w:spacing w:line="276" w:lineRule="auto"/>
        <w:rPr>
          <w:rFonts w:ascii="Muli" w:eastAsia="Muli" w:hAnsi="Muli" w:cs="Muli"/>
          <w:sz w:val="20"/>
          <w:szCs w:val="20"/>
        </w:rPr>
      </w:pPr>
    </w:p>
    <w:p w14:paraId="415BCFF2" w14:textId="77777777" w:rsidR="00C5473B" w:rsidRDefault="00C5473B">
      <w:pPr>
        <w:pStyle w:val="normal0"/>
        <w:spacing w:line="276" w:lineRule="auto"/>
        <w:rPr>
          <w:rFonts w:ascii="Muli" w:eastAsia="Muli" w:hAnsi="Muli" w:cs="Muli"/>
          <w:sz w:val="20"/>
          <w:szCs w:val="20"/>
        </w:rPr>
      </w:pPr>
    </w:p>
    <w:p w14:paraId="7A4556BE" w14:textId="77777777" w:rsidR="00C5473B" w:rsidRDefault="00C5473B">
      <w:pPr>
        <w:pStyle w:val="normal0"/>
        <w:spacing w:line="276" w:lineRule="auto"/>
        <w:rPr>
          <w:rFonts w:ascii="Muli" w:eastAsia="Muli" w:hAnsi="Muli" w:cs="Muli"/>
          <w:sz w:val="20"/>
          <w:szCs w:val="20"/>
        </w:rPr>
      </w:pPr>
    </w:p>
    <w:p w14:paraId="511DC370" w14:textId="77777777" w:rsidR="00C5473B" w:rsidRDefault="00C5473B">
      <w:pPr>
        <w:pStyle w:val="normal0"/>
        <w:spacing w:line="276" w:lineRule="auto"/>
        <w:rPr>
          <w:rFonts w:ascii="Muli" w:eastAsia="Muli" w:hAnsi="Muli" w:cs="Muli"/>
          <w:sz w:val="20"/>
          <w:szCs w:val="20"/>
        </w:rPr>
      </w:pPr>
    </w:p>
    <w:p w14:paraId="7DDF88CF" w14:textId="77777777" w:rsidR="00C5473B" w:rsidRDefault="00C5473B">
      <w:pPr>
        <w:pStyle w:val="normal0"/>
        <w:spacing w:line="276" w:lineRule="auto"/>
        <w:rPr>
          <w:rFonts w:ascii="Muli" w:eastAsia="Muli" w:hAnsi="Muli" w:cs="Muli"/>
          <w:sz w:val="20"/>
          <w:szCs w:val="20"/>
        </w:rPr>
      </w:pPr>
    </w:p>
    <w:p w14:paraId="10DB799B" w14:textId="77777777" w:rsidR="00EA3167" w:rsidRDefault="00EA3167">
      <w:pPr>
        <w:pStyle w:val="normal0"/>
        <w:spacing w:line="276" w:lineRule="auto"/>
        <w:rPr>
          <w:rFonts w:ascii="Muli" w:eastAsia="Muli" w:hAnsi="Muli" w:cs="Muli"/>
          <w:sz w:val="20"/>
          <w:szCs w:val="20"/>
        </w:rPr>
      </w:pPr>
      <w:bookmarkStart w:id="0" w:name="_GoBack"/>
      <w:bookmarkEnd w:id="0"/>
    </w:p>
    <w:p w14:paraId="03906756" w14:textId="77777777" w:rsidR="00C5473B" w:rsidRDefault="00C5473B">
      <w:pPr>
        <w:pStyle w:val="normal0"/>
        <w:spacing w:line="276" w:lineRule="auto"/>
        <w:rPr>
          <w:rFonts w:ascii="Muli" w:eastAsia="Muli" w:hAnsi="Muli" w:cs="Muli"/>
          <w:sz w:val="20"/>
          <w:szCs w:val="20"/>
        </w:rPr>
      </w:pPr>
    </w:p>
    <w:p w14:paraId="55D904B7" w14:textId="77777777" w:rsidR="00C5473B" w:rsidRDefault="00C5473B">
      <w:pPr>
        <w:pStyle w:val="normal0"/>
        <w:spacing w:line="276" w:lineRule="auto"/>
        <w:rPr>
          <w:rFonts w:ascii="Muli" w:eastAsia="Muli" w:hAnsi="Muli" w:cs="Muli"/>
          <w:sz w:val="20"/>
          <w:szCs w:val="20"/>
        </w:rPr>
      </w:pPr>
    </w:p>
    <w:p w14:paraId="0196BC59" w14:textId="77777777" w:rsidR="00C5473B" w:rsidRDefault="00C5473B">
      <w:pPr>
        <w:pStyle w:val="normal0"/>
        <w:spacing w:line="276" w:lineRule="auto"/>
        <w:rPr>
          <w:rFonts w:ascii="Muli" w:eastAsia="Muli" w:hAnsi="Muli" w:cs="Muli"/>
          <w:sz w:val="20"/>
          <w:szCs w:val="20"/>
        </w:rPr>
      </w:pPr>
    </w:p>
    <w:tbl>
      <w:tblPr>
        <w:tblStyle w:val="a1"/>
        <w:tblW w:w="1386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5"/>
        <w:gridCol w:w="4845"/>
      </w:tblGrid>
      <w:tr w:rsidR="003959B7" w14:paraId="0DCEC74A" w14:textId="77777777" w:rsidTr="00AF6C9D">
        <w:trPr>
          <w:trHeight w:val="320"/>
        </w:trPr>
        <w:tc>
          <w:tcPr>
            <w:tcW w:w="13860" w:type="dxa"/>
            <w:gridSpan w:val="2"/>
            <w:shd w:val="clear" w:color="auto" w:fill="FF126D"/>
          </w:tcPr>
          <w:p w14:paraId="2C2E786D" w14:textId="77777777" w:rsidR="003959B7" w:rsidRDefault="00C5473B">
            <w:pPr>
              <w:pStyle w:val="normal0"/>
              <w:spacing w:before="1"/>
              <w:ind w:left="270"/>
              <w:rPr>
                <w:rFonts w:ascii="Muli" w:eastAsia="Muli" w:hAnsi="Muli" w:cs="Muli"/>
                <w:sz w:val="20"/>
                <w:szCs w:val="20"/>
              </w:rPr>
            </w:pPr>
            <w:r>
              <w:rPr>
                <w:rFonts w:ascii="Muli" w:eastAsia="Muli" w:hAnsi="Muli" w:cs="Muli"/>
                <w:color w:val="FFFFFF"/>
                <w:sz w:val="20"/>
                <w:szCs w:val="20"/>
              </w:rPr>
              <w:lastRenderedPageBreak/>
              <w:t>Strengths related to these Teacher Supports</w:t>
            </w:r>
          </w:p>
        </w:tc>
      </w:tr>
      <w:tr w:rsidR="003959B7" w14:paraId="41BE0062" w14:textId="77777777" w:rsidTr="00AF6C9D">
        <w:trPr>
          <w:trHeight w:val="760"/>
        </w:trPr>
        <w:tc>
          <w:tcPr>
            <w:tcW w:w="13860" w:type="dxa"/>
            <w:gridSpan w:val="2"/>
            <w:shd w:val="clear" w:color="auto" w:fill="CCCCCC"/>
          </w:tcPr>
          <w:p w14:paraId="50C0259E" w14:textId="77777777" w:rsidR="003959B7" w:rsidRDefault="00C5473B">
            <w:pPr>
              <w:pStyle w:val="normal0"/>
              <w:spacing w:before="1"/>
              <w:ind w:left="180" w:right="305"/>
              <w:rPr>
                <w:rFonts w:ascii="Muli" w:eastAsia="Muli" w:hAnsi="Muli" w:cs="Muli"/>
                <w:sz w:val="20"/>
                <w:szCs w:val="20"/>
              </w:rPr>
            </w:pPr>
            <w:r>
              <w:rPr>
                <w:rFonts w:ascii="Muli" w:eastAsia="Muli" w:hAnsi="Muli" w:cs="Muli"/>
                <w:b/>
                <w:sz w:val="20"/>
                <w:szCs w:val="20"/>
              </w:rPr>
              <w:t>F1. Presence of Phenomena/Problems.</w:t>
            </w:r>
          </w:p>
          <w:p w14:paraId="76700007" w14:textId="77777777" w:rsidR="003959B7" w:rsidRDefault="00C5473B">
            <w:pPr>
              <w:pStyle w:val="normal0"/>
              <w:ind w:left="180"/>
              <w:rPr>
                <w:rFonts w:ascii="Muli" w:eastAsia="Muli" w:hAnsi="Muli" w:cs="Muli"/>
                <w:color w:val="FFFFFF"/>
                <w:sz w:val="20"/>
                <w:szCs w:val="20"/>
              </w:rPr>
            </w:pPr>
            <w:r>
              <w:rPr>
                <w:rFonts w:ascii="Muli" w:eastAsia="Muli" w:hAnsi="Muli" w:cs="Muli"/>
                <w:sz w:val="20"/>
                <w:szCs w:val="20"/>
              </w:rPr>
              <w:t>The module is strong at identifying and providing background information about the phenomena/problems in the unit and how they match the targeted learning goals.</w:t>
            </w:r>
          </w:p>
        </w:tc>
      </w:tr>
      <w:tr w:rsidR="003959B7" w14:paraId="7FAB8D1D" w14:textId="77777777" w:rsidTr="00AF6C9D">
        <w:trPr>
          <w:trHeight w:val="3200"/>
        </w:trPr>
        <w:tc>
          <w:tcPr>
            <w:tcW w:w="9015" w:type="dxa"/>
          </w:tcPr>
          <w:p w14:paraId="3121828C" w14:textId="77777777" w:rsidR="003959B7" w:rsidRDefault="003959B7">
            <w:pPr>
              <w:pStyle w:val="normal0"/>
              <w:ind w:left="180" w:right="105"/>
              <w:rPr>
                <w:rFonts w:ascii="Muli" w:eastAsia="Muli" w:hAnsi="Muli" w:cs="Muli"/>
                <w:b/>
                <w:color w:val="FF126D"/>
                <w:sz w:val="20"/>
                <w:szCs w:val="20"/>
              </w:rPr>
            </w:pPr>
          </w:p>
          <w:p w14:paraId="6D9A119E" w14:textId="77777777" w:rsidR="003959B7" w:rsidRDefault="00C5473B">
            <w:pPr>
              <w:pStyle w:val="normal0"/>
              <w:ind w:left="180" w:right="105"/>
              <w:rPr>
                <w:rFonts w:ascii="Muli" w:eastAsia="Muli" w:hAnsi="Muli" w:cs="Muli"/>
                <w:color w:val="FF126D"/>
                <w:sz w:val="20"/>
                <w:szCs w:val="20"/>
              </w:rPr>
            </w:pPr>
            <w:r>
              <w:rPr>
                <w:rFonts w:ascii="Muli" w:eastAsia="Muli" w:hAnsi="Muli" w:cs="Muli"/>
                <w:b/>
                <w:color w:val="FF126D"/>
                <w:sz w:val="20"/>
                <w:szCs w:val="20"/>
              </w:rPr>
              <w:t>Evidence</w:t>
            </w:r>
          </w:p>
          <w:p w14:paraId="4AA2D5A8" w14:textId="77777777" w:rsidR="003959B7" w:rsidRDefault="00C5473B">
            <w:pPr>
              <w:pStyle w:val="normal0"/>
              <w:numPr>
                <w:ilvl w:val="0"/>
                <w:numId w:val="19"/>
              </w:numPr>
              <w:ind w:right="105"/>
              <w:contextualSpacing/>
              <w:rPr>
                <w:rFonts w:ascii="Muli" w:eastAsia="Muli" w:hAnsi="Muli" w:cs="Muli"/>
                <w:sz w:val="20"/>
                <w:szCs w:val="20"/>
              </w:rPr>
            </w:pPr>
            <w:r>
              <w:rPr>
                <w:rFonts w:ascii="Muli" w:eastAsia="Muli" w:hAnsi="Muli" w:cs="Muli"/>
                <w:sz w:val="20"/>
                <w:szCs w:val="20"/>
              </w:rPr>
              <w:t xml:space="preserve">An </w:t>
            </w:r>
            <w:r>
              <w:rPr>
                <w:rFonts w:ascii="Muli" w:eastAsia="Muli" w:hAnsi="Muli" w:cs="Muli"/>
                <w:b/>
                <w:color w:val="FF126D"/>
                <w:sz w:val="20"/>
                <w:szCs w:val="20"/>
              </w:rPr>
              <w:t>Module Introduction</w:t>
            </w:r>
            <w:r>
              <w:rPr>
                <w:rFonts w:ascii="Muli" w:eastAsia="Muli" w:hAnsi="Muli" w:cs="Muli"/>
                <w:sz w:val="20"/>
                <w:szCs w:val="20"/>
              </w:rPr>
              <w:t xml:space="preserve"> online and in print (</w:t>
            </w:r>
            <w:r>
              <w:rPr>
                <w:rFonts w:ascii="Muli" w:eastAsia="Muli" w:hAnsi="Muli" w:cs="Muli"/>
                <w:b/>
                <w:color w:val="FF126D"/>
                <w:sz w:val="20"/>
                <w:szCs w:val="20"/>
              </w:rPr>
              <w:t>TE p. i–iii</w:t>
            </w:r>
            <w:r>
              <w:rPr>
                <w:rFonts w:ascii="Muli" w:eastAsia="Muli" w:hAnsi="Muli" w:cs="Muli"/>
                <w:sz w:val="20"/>
                <w:szCs w:val="20"/>
              </w:rPr>
              <w:t>) sets out at high level how students will solve the Module Phenomenon.</w:t>
            </w:r>
          </w:p>
        </w:tc>
        <w:tc>
          <w:tcPr>
            <w:tcW w:w="4845" w:type="dxa"/>
          </w:tcPr>
          <w:p w14:paraId="63EB603A" w14:textId="77777777" w:rsidR="003959B7" w:rsidRDefault="00C5473B">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D5C1D84" wp14:editId="41E51789">
                  <wp:extent cx="2887662" cy="1766676"/>
                  <wp:effectExtent l="12700" t="12700" r="12700" b="1270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887662" cy="1766676"/>
                          </a:xfrm>
                          <a:prstGeom prst="rect">
                            <a:avLst/>
                          </a:prstGeom>
                          <a:ln w="12700">
                            <a:solidFill>
                              <a:srgbClr val="CCCCCC"/>
                            </a:solidFill>
                            <a:prstDash val="solid"/>
                          </a:ln>
                        </pic:spPr>
                      </pic:pic>
                    </a:graphicData>
                  </a:graphic>
                </wp:inline>
              </w:drawing>
            </w:r>
          </w:p>
          <w:p w14:paraId="57D774E0"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Module Introduction TE p. i–iii</w:t>
            </w:r>
          </w:p>
        </w:tc>
      </w:tr>
      <w:tr w:rsidR="003959B7" w14:paraId="2F5B80EC" w14:textId="77777777" w:rsidTr="00AF6C9D">
        <w:trPr>
          <w:trHeight w:val="5607"/>
        </w:trPr>
        <w:tc>
          <w:tcPr>
            <w:tcW w:w="9015" w:type="dxa"/>
          </w:tcPr>
          <w:p w14:paraId="73518645" w14:textId="77777777" w:rsidR="003959B7" w:rsidRDefault="00C5473B">
            <w:pPr>
              <w:pStyle w:val="normal0"/>
              <w:numPr>
                <w:ilvl w:val="0"/>
                <w:numId w:val="19"/>
              </w:numPr>
              <w:ind w:right="105"/>
              <w:contextualSpacing/>
              <w:rPr>
                <w:rFonts w:ascii="Muli" w:eastAsia="Muli" w:hAnsi="Muli" w:cs="Muli"/>
                <w:sz w:val="20"/>
                <w:szCs w:val="20"/>
              </w:rPr>
            </w:pPr>
            <w:r>
              <w:rPr>
                <w:rFonts w:ascii="Muli" w:eastAsia="Muli" w:hAnsi="Muli" w:cs="Muli"/>
                <w:b/>
                <w:color w:val="FF126D"/>
                <w:sz w:val="20"/>
                <w:szCs w:val="20"/>
              </w:rPr>
              <w:t>Teacher Background Knowledge</w:t>
            </w:r>
            <w:r>
              <w:rPr>
                <w:rFonts w:ascii="Muli" w:eastAsia="Muli" w:hAnsi="Muli" w:cs="Muli"/>
                <w:sz w:val="20"/>
                <w:szCs w:val="20"/>
              </w:rPr>
              <w:t xml:space="preserve"> on the phenomena and DCIs addressed in every Driving Question is explained simply in a Q&amp;A format with supporting diagrams and visuals. A glossary of scientific terms is also provided. For example, DQ1 provides background information on matter, what plants need to grow, fair tests, and Jan Baptist van Helmont, while DQ4 explains energy, where it comes from, and why we need it.</w:t>
            </w:r>
          </w:p>
        </w:tc>
        <w:tc>
          <w:tcPr>
            <w:tcW w:w="4845" w:type="dxa"/>
          </w:tcPr>
          <w:p w14:paraId="19990545" w14:textId="77777777" w:rsidR="003959B7" w:rsidRDefault="00C5473B">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CC4C0A8" wp14:editId="731FB75B">
                  <wp:extent cx="2868612" cy="1398671"/>
                  <wp:effectExtent l="12700" t="12700" r="12700" b="1270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
                          <a:srcRect/>
                          <a:stretch>
                            <a:fillRect/>
                          </a:stretch>
                        </pic:blipFill>
                        <pic:spPr>
                          <a:xfrm>
                            <a:off x="0" y="0"/>
                            <a:ext cx="2868612" cy="1398671"/>
                          </a:xfrm>
                          <a:prstGeom prst="rect">
                            <a:avLst/>
                          </a:prstGeom>
                          <a:ln w="12700">
                            <a:solidFill>
                              <a:srgbClr val="CCCCCC"/>
                            </a:solidFill>
                            <a:prstDash val="solid"/>
                          </a:ln>
                        </pic:spPr>
                      </pic:pic>
                    </a:graphicData>
                  </a:graphic>
                </wp:inline>
              </w:drawing>
            </w:r>
          </w:p>
          <w:p w14:paraId="1E6BF9D1"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Teacher Background Knowledge</w:t>
            </w:r>
          </w:p>
        </w:tc>
      </w:tr>
      <w:tr w:rsidR="003959B7" w14:paraId="106B5941" w14:textId="77777777" w:rsidTr="00AF6C9D">
        <w:trPr>
          <w:trHeight w:val="840"/>
        </w:trPr>
        <w:tc>
          <w:tcPr>
            <w:tcW w:w="13860" w:type="dxa"/>
            <w:gridSpan w:val="2"/>
            <w:shd w:val="clear" w:color="auto" w:fill="CCCCCC"/>
          </w:tcPr>
          <w:p w14:paraId="646DA7D6"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lastRenderedPageBreak/>
              <w:t>F2. Presence of Three Dimensions.</w:t>
            </w:r>
          </w:p>
          <w:p w14:paraId="5DCCAF3B" w14:textId="77777777" w:rsidR="003959B7" w:rsidRDefault="00C5473B">
            <w:pPr>
              <w:pStyle w:val="normal0"/>
              <w:spacing w:before="1"/>
              <w:ind w:left="180" w:right="144"/>
              <w:rPr>
                <w:rFonts w:ascii="Muli" w:eastAsia="Muli" w:hAnsi="Muli" w:cs="Muli"/>
                <w:b/>
                <w:sz w:val="20"/>
                <w:szCs w:val="20"/>
              </w:rPr>
            </w:pPr>
            <w:r>
              <w:rPr>
                <w:rFonts w:ascii="Muli" w:eastAsia="Muli" w:hAnsi="Muli" w:cs="Muli"/>
                <w:sz w:val="20"/>
                <w:szCs w:val="20"/>
              </w:rPr>
              <w:t>The module is strong at identifying and providing background information about each of the three dimensions in the unit. It also supports opportunities to connect to the nature of science (CNS) and engineering, technology, and applications of science (CETAS).</w:t>
            </w:r>
          </w:p>
        </w:tc>
      </w:tr>
      <w:tr w:rsidR="003959B7" w14:paraId="152DD34D" w14:textId="77777777" w:rsidTr="00AF6C9D">
        <w:trPr>
          <w:trHeight w:val="4560"/>
        </w:trPr>
        <w:tc>
          <w:tcPr>
            <w:tcW w:w="9015" w:type="dxa"/>
          </w:tcPr>
          <w:p w14:paraId="014BDEE5" w14:textId="77777777" w:rsidR="003959B7" w:rsidRDefault="003959B7">
            <w:pPr>
              <w:pStyle w:val="normal0"/>
              <w:ind w:left="180"/>
              <w:rPr>
                <w:rFonts w:ascii="Muli" w:eastAsia="Muli" w:hAnsi="Muli" w:cs="Muli"/>
                <w:b/>
                <w:sz w:val="20"/>
                <w:szCs w:val="20"/>
              </w:rPr>
            </w:pPr>
          </w:p>
          <w:p w14:paraId="56B2A738" w14:textId="77777777" w:rsidR="003959B7" w:rsidRDefault="00C5473B">
            <w:pPr>
              <w:pStyle w:val="normal0"/>
              <w:ind w:left="180"/>
              <w:rPr>
                <w:rFonts w:ascii="Muli" w:eastAsia="Muli" w:hAnsi="Muli" w:cs="Muli"/>
                <w:sz w:val="20"/>
                <w:szCs w:val="20"/>
              </w:rPr>
            </w:pPr>
            <w:r>
              <w:rPr>
                <w:rFonts w:ascii="Muli" w:eastAsia="Muli" w:hAnsi="Muli" w:cs="Muli"/>
                <w:b/>
                <w:color w:val="FF126D"/>
                <w:sz w:val="20"/>
                <w:szCs w:val="20"/>
              </w:rPr>
              <w:t xml:space="preserve">Evidence </w:t>
            </w:r>
          </w:p>
          <w:p w14:paraId="1EC5F9BF" w14:textId="77777777" w:rsidR="003959B7" w:rsidRDefault="00C5473B">
            <w:pPr>
              <w:pStyle w:val="normal0"/>
              <w:numPr>
                <w:ilvl w:val="0"/>
                <w:numId w:val="10"/>
              </w:numPr>
              <w:contextualSpacing/>
              <w:rPr>
                <w:rFonts w:ascii="Muli" w:eastAsia="Muli" w:hAnsi="Muli" w:cs="Muli"/>
                <w:sz w:val="20"/>
                <w:szCs w:val="20"/>
              </w:rPr>
            </w:pPr>
            <w:r>
              <w:rPr>
                <w:rFonts w:ascii="Muli" w:eastAsia="Muli" w:hAnsi="Muli" w:cs="Muli"/>
                <w:sz w:val="20"/>
                <w:szCs w:val="20"/>
              </w:rPr>
              <w:t xml:space="preserve">A digital guide to SEPs and CCCs provides a clear explanation for each practice and concept with guidance on what these skills should look like in a 5th grade classroom, with specific reference for how students ask questions and develop investigations in Grade 5 Module 2. </w:t>
            </w:r>
          </w:p>
          <w:p w14:paraId="2C0AD0A1" w14:textId="77777777" w:rsidR="003959B7" w:rsidRDefault="00C5473B">
            <w:pPr>
              <w:pStyle w:val="normal0"/>
              <w:numPr>
                <w:ilvl w:val="0"/>
                <w:numId w:val="10"/>
              </w:numPr>
              <w:contextualSpacing/>
              <w:rPr>
                <w:rFonts w:ascii="Muli" w:eastAsia="Muli" w:hAnsi="Muli" w:cs="Muli"/>
                <w:sz w:val="20"/>
                <w:szCs w:val="20"/>
              </w:rPr>
            </w:pPr>
            <w:r>
              <w:rPr>
                <w:rFonts w:ascii="Muli" w:eastAsia="Muli" w:hAnsi="Muli" w:cs="Muli"/>
                <w:sz w:val="20"/>
                <w:szCs w:val="20"/>
              </w:rPr>
              <w:t>Additional module-specific support is frequently given at point of use in the instructional materials for all dimensions, Connections to the Nature of Science (CNS) and Connecting to Engineering, Technology, and Applications of Science (CETAS), often in the Connect. For example, in</w:t>
            </w:r>
            <w:r>
              <w:rPr>
                <w:rFonts w:ascii="Muli" w:eastAsia="Muli" w:hAnsi="Muli" w:cs="Muli"/>
                <w:b/>
                <w:color w:val="FF126D"/>
                <w:sz w:val="20"/>
                <w:szCs w:val="20"/>
              </w:rPr>
              <w:t xml:space="preserve"> DQ1L2 TE Connect p. 19</w:t>
            </w:r>
            <w:r>
              <w:rPr>
                <w:rFonts w:ascii="Muli" w:eastAsia="Muli" w:hAnsi="Muli" w:cs="Muli"/>
                <w:sz w:val="20"/>
                <w:szCs w:val="20"/>
              </w:rPr>
              <w:t xml:space="preserve">, support is given on connecting the learning activity to CCC-3 Scale, Proportion, and Quantity. </w:t>
            </w:r>
          </w:p>
          <w:p w14:paraId="35F28BD4" w14:textId="77777777" w:rsidR="003959B7" w:rsidRDefault="003959B7">
            <w:pPr>
              <w:pStyle w:val="normal0"/>
              <w:ind w:left="180"/>
              <w:rPr>
                <w:rFonts w:ascii="Muli" w:eastAsia="Muli" w:hAnsi="Muli" w:cs="Muli"/>
                <w:b/>
                <w:color w:val="FF126D"/>
                <w:sz w:val="20"/>
                <w:szCs w:val="20"/>
              </w:rPr>
            </w:pPr>
          </w:p>
        </w:tc>
        <w:tc>
          <w:tcPr>
            <w:tcW w:w="4845" w:type="dxa"/>
          </w:tcPr>
          <w:p w14:paraId="34EB079A" w14:textId="77777777" w:rsidR="003959B7" w:rsidRDefault="00C5473B">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22CA2575" wp14:editId="400BB5AC">
                  <wp:extent cx="2868612" cy="2541938"/>
                  <wp:effectExtent l="12700" t="12700" r="12700" b="127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868612" cy="2541938"/>
                          </a:xfrm>
                          <a:prstGeom prst="rect">
                            <a:avLst/>
                          </a:prstGeom>
                          <a:ln w="12700">
                            <a:solidFill>
                              <a:srgbClr val="CCCCCC"/>
                            </a:solidFill>
                            <a:prstDash val="solid"/>
                          </a:ln>
                        </pic:spPr>
                      </pic:pic>
                    </a:graphicData>
                  </a:graphic>
                </wp:inline>
              </w:drawing>
            </w:r>
          </w:p>
          <w:p w14:paraId="378F72A4" w14:textId="77777777" w:rsidR="003959B7" w:rsidRDefault="00C5473B">
            <w:pPr>
              <w:pStyle w:val="normal0"/>
              <w:ind w:left="180" w:hanging="90"/>
              <w:rPr>
                <w:rFonts w:ascii="Muli" w:eastAsia="Muli" w:hAnsi="Muli" w:cs="Muli"/>
                <w:sz w:val="20"/>
                <w:szCs w:val="20"/>
              </w:rPr>
            </w:pPr>
            <w:r>
              <w:rPr>
                <w:rFonts w:ascii="Muli" w:eastAsia="Muli" w:hAnsi="Muli" w:cs="Muli"/>
                <w:b/>
                <w:color w:val="FF126D"/>
                <w:sz w:val="20"/>
                <w:szCs w:val="20"/>
              </w:rPr>
              <w:t xml:space="preserve"> DQ1L2 TE Connect p. 19</w:t>
            </w:r>
          </w:p>
        </w:tc>
      </w:tr>
      <w:tr w:rsidR="003959B7" w14:paraId="6C29CD89" w14:textId="77777777" w:rsidTr="00AF6C9D">
        <w:trPr>
          <w:trHeight w:val="560"/>
        </w:trPr>
        <w:tc>
          <w:tcPr>
            <w:tcW w:w="13860" w:type="dxa"/>
            <w:gridSpan w:val="2"/>
            <w:shd w:val="clear" w:color="auto" w:fill="CCCCCC"/>
          </w:tcPr>
          <w:p w14:paraId="1A0FDCA9"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t>F3. Presence of Logical Sequence.</w:t>
            </w:r>
          </w:p>
          <w:p w14:paraId="6D90EEE6" w14:textId="77777777" w:rsidR="003959B7" w:rsidRDefault="00C5473B">
            <w:pPr>
              <w:pStyle w:val="normal0"/>
              <w:spacing w:before="1"/>
              <w:ind w:left="180"/>
              <w:rPr>
                <w:rFonts w:ascii="Muli" w:eastAsia="Muli" w:hAnsi="Muli" w:cs="Muli"/>
                <w:b/>
                <w:sz w:val="20"/>
                <w:szCs w:val="20"/>
              </w:rPr>
            </w:pPr>
            <w:r>
              <w:rPr>
                <w:rFonts w:ascii="Muli" w:eastAsia="Muli" w:hAnsi="Muli" w:cs="Muli"/>
                <w:sz w:val="20"/>
                <w:szCs w:val="20"/>
              </w:rPr>
              <w:t>The module is strong at Identifying and providing background information on the sequence of learning in the unit.</w:t>
            </w:r>
          </w:p>
        </w:tc>
      </w:tr>
      <w:tr w:rsidR="003959B7" w14:paraId="4BE61A72" w14:textId="77777777" w:rsidTr="00AF6C9D">
        <w:trPr>
          <w:trHeight w:val="2680"/>
        </w:trPr>
        <w:tc>
          <w:tcPr>
            <w:tcW w:w="9015" w:type="dxa"/>
          </w:tcPr>
          <w:p w14:paraId="1ABEF4D6" w14:textId="77777777" w:rsidR="003959B7" w:rsidRDefault="00C5473B">
            <w:pPr>
              <w:pStyle w:val="normal0"/>
              <w:ind w:left="180"/>
              <w:rPr>
                <w:rFonts w:ascii="Muli" w:eastAsia="Muli" w:hAnsi="Muli" w:cs="Muli"/>
                <w:color w:val="FF126D"/>
                <w:sz w:val="20"/>
                <w:szCs w:val="20"/>
              </w:rPr>
            </w:pPr>
            <w:r>
              <w:rPr>
                <w:rFonts w:ascii="Muli" w:eastAsia="Muli" w:hAnsi="Muli" w:cs="Muli"/>
                <w:b/>
                <w:color w:val="FF126D"/>
                <w:sz w:val="20"/>
                <w:szCs w:val="20"/>
              </w:rPr>
              <w:t xml:space="preserve">Evidence </w:t>
            </w:r>
          </w:p>
          <w:p w14:paraId="2AC37728" w14:textId="77777777" w:rsidR="003959B7" w:rsidRDefault="00C5473B">
            <w:pPr>
              <w:pStyle w:val="normal0"/>
              <w:numPr>
                <w:ilvl w:val="0"/>
                <w:numId w:val="4"/>
              </w:numPr>
              <w:contextualSpacing/>
              <w:rPr>
                <w:rFonts w:ascii="Muli" w:eastAsia="Muli" w:hAnsi="Muli" w:cs="Muli"/>
                <w:sz w:val="20"/>
                <w:szCs w:val="20"/>
              </w:rPr>
            </w:pPr>
            <w:r>
              <w:rPr>
                <w:rFonts w:ascii="Muli" w:eastAsia="Muli" w:hAnsi="Muli" w:cs="Muli"/>
                <w:sz w:val="20"/>
                <w:szCs w:val="20"/>
              </w:rPr>
              <w:t xml:space="preserve">A </w:t>
            </w:r>
            <w:r>
              <w:rPr>
                <w:rFonts w:ascii="Muli" w:eastAsia="Muli" w:hAnsi="Muli" w:cs="Muli"/>
                <w:b/>
                <w:color w:val="FF126D"/>
                <w:sz w:val="20"/>
                <w:szCs w:val="20"/>
              </w:rPr>
              <w:t>Module Introduction video</w:t>
            </w:r>
            <w:r>
              <w:rPr>
                <w:rFonts w:ascii="Muli" w:eastAsia="Muli" w:hAnsi="Muli" w:cs="Muli"/>
                <w:sz w:val="20"/>
                <w:szCs w:val="20"/>
              </w:rPr>
              <w:t xml:space="preserve"> provides the teacher with an engaging overview on the phenomena explored in Yellowstone: Uncovered, the sequence of learning, and an explanation of how the Performance Expectations are addressed and how they build on each other.</w:t>
            </w:r>
          </w:p>
          <w:p w14:paraId="27BF02F6" w14:textId="77777777" w:rsidR="003959B7" w:rsidRDefault="003959B7">
            <w:pPr>
              <w:pStyle w:val="normal0"/>
              <w:ind w:left="180"/>
              <w:rPr>
                <w:rFonts w:ascii="Muli" w:eastAsia="Muli" w:hAnsi="Muli" w:cs="Muli"/>
                <w:b/>
                <w:sz w:val="20"/>
                <w:szCs w:val="20"/>
              </w:rPr>
            </w:pPr>
          </w:p>
        </w:tc>
        <w:tc>
          <w:tcPr>
            <w:tcW w:w="4845" w:type="dxa"/>
          </w:tcPr>
          <w:p w14:paraId="65E17181" w14:textId="77777777" w:rsidR="003959B7" w:rsidRDefault="00C5473B">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1C455BDB" wp14:editId="2BE1A844">
                  <wp:extent cx="2841089" cy="1557338"/>
                  <wp:effectExtent l="0" t="0" r="0" b="0"/>
                  <wp:docPr id="5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l="2070" t="9661" r="2590" b="9178"/>
                          <a:stretch>
                            <a:fillRect/>
                          </a:stretch>
                        </pic:blipFill>
                        <pic:spPr>
                          <a:xfrm>
                            <a:off x="0" y="0"/>
                            <a:ext cx="2841089" cy="1557338"/>
                          </a:xfrm>
                          <a:prstGeom prst="rect">
                            <a:avLst/>
                          </a:prstGeom>
                          <a:ln/>
                        </pic:spPr>
                      </pic:pic>
                    </a:graphicData>
                  </a:graphic>
                </wp:inline>
              </w:drawing>
            </w:r>
          </w:p>
          <w:p w14:paraId="14CC4F69"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Module Introduction video</w:t>
            </w:r>
          </w:p>
          <w:p w14:paraId="7D0F380C" w14:textId="77777777" w:rsidR="003959B7" w:rsidRDefault="003959B7">
            <w:pPr>
              <w:pStyle w:val="normal0"/>
              <w:ind w:left="180" w:hanging="90"/>
              <w:rPr>
                <w:rFonts w:ascii="Muli" w:eastAsia="Muli" w:hAnsi="Muli" w:cs="Muli"/>
                <w:sz w:val="20"/>
                <w:szCs w:val="20"/>
              </w:rPr>
            </w:pPr>
          </w:p>
        </w:tc>
      </w:tr>
      <w:tr w:rsidR="003959B7" w14:paraId="0B1C8573" w14:textId="77777777" w:rsidTr="00AF6C9D">
        <w:trPr>
          <w:trHeight w:val="700"/>
        </w:trPr>
        <w:tc>
          <w:tcPr>
            <w:tcW w:w="9015" w:type="dxa"/>
          </w:tcPr>
          <w:p w14:paraId="55916B71" w14:textId="77777777" w:rsidR="003959B7" w:rsidRDefault="00C5473B">
            <w:pPr>
              <w:pStyle w:val="normal0"/>
              <w:numPr>
                <w:ilvl w:val="0"/>
                <w:numId w:val="4"/>
              </w:numPr>
              <w:ind w:right="105"/>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Module Contents</w:t>
            </w:r>
            <w:r>
              <w:rPr>
                <w:rFonts w:ascii="Muli" w:eastAsia="Muli" w:hAnsi="Muli" w:cs="Muli"/>
                <w:sz w:val="20"/>
                <w:szCs w:val="20"/>
              </w:rPr>
              <w:t xml:space="preserve"> identifies the sequence of three dimensions addressed in Grade 5 Module 2 and states how they build on each other. For example, in DQ2, students investigate and model food chains and food webs. In DQ3</w:t>
            </w:r>
            <w:r>
              <w:rPr>
                <w:rFonts w:ascii="Muli" w:eastAsia="Muli" w:hAnsi="Muli" w:cs="Muli"/>
                <w:color w:val="545454"/>
                <w:sz w:val="20"/>
                <w:szCs w:val="20"/>
                <w:highlight w:val="white"/>
              </w:rPr>
              <w:t>–</w:t>
            </w:r>
            <w:r>
              <w:rPr>
                <w:rFonts w:ascii="Muli" w:eastAsia="Muli" w:hAnsi="Muli" w:cs="Muli"/>
                <w:sz w:val="20"/>
                <w:szCs w:val="20"/>
              </w:rPr>
              <w:t>6, they develop an increasingly sophisticated understanding of how matter and energy flow through ecosystems using an ecosystem model that they create.</w:t>
            </w:r>
          </w:p>
        </w:tc>
        <w:tc>
          <w:tcPr>
            <w:tcW w:w="4845" w:type="dxa"/>
          </w:tcPr>
          <w:p w14:paraId="46D3BAB2" w14:textId="77777777" w:rsidR="003959B7" w:rsidRDefault="00C5473B">
            <w:pPr>
              <w:pStyle w:val="normal0"/>
              <w:ind w:left="180" w:hanging="90"/>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0B010C07" wp14:editId="42371B6B">
                  <wp:extent cx="2573337" cy="2763174"/>
                  <wp:effectExtent l="12700" t="12700" r="12700" b="1270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2573337" cy="2763174"/>
                          </a:xfrm>
                          <a:prstGeom prst="rect">
                            <a:avLst/>
                          </a:prstGeom>
                          <a:ln w="12700">
                            <a:solidFill>
                              <a:srgbClr val="D9D9D9"/>
                            </a:solidFill>
                            <a:prstDash val="solid"/>
                          </a:ln>
                        </pic:spPr>
                      </pic:pic>
                    </a:graphicData>
                  </a:graphic>
                </wp:inline>
              </w:drawing>
            </w:r>
          </w:p>
          <w:p w14:paraId="43AE270A" w14:textId="77777777" w:rsidR="003959B7" w:rsidRDefault="00C5473B">
            <w:pPr>
              <w:pStyle w:val="normal0"/>
              <w:ind w:firstLine="90"/>
              <w:rPr>
                <w:rFonts w:ascii="Muli" w:eastAsia="Muli" w:hAnsi="Muli" w:cs="Muli"/>
                <w:sz w:val="20"/>
                <w:szCs w:val="20"/>
              </w:rPr>
            </w:pPr>
            <w:r>
              <w:rPr>
                <w:rFonts w:ascii="Muli" w:eastAsia="Muli" w:hAnsi="Muli" w:cs="Muli"/>
                <w:b/>
                <w:color w:val="FF126D"/>
                <w:sz w:val="20"/>
                <w:szCs w:val="20"/>
              </w:rPr>
              <w:t>Module Contents</w:t>
            </w:r>
          </w:p>
        </w:tc>
      </w:tr>
      <w:tr w:rsidR="003959B7" w14:paraId="6C88D7F7" w14:textId="77777777" w:rsidTr="00AF6C9D">
        <w:trPr>
          <w:trHeight w:val="9940"/>
        </w:trPr>
        <w:tc>
          <w:tcPr>
            <w:tcW w:w="9015" w:type="dxa"/>
          </w:tcPr>
          <w:p w14:paraId="603845F2" w14:textId="77777777" w:rsidR="003959B7" w:rsidRDefault="003959B7">
            <w:pPr>
              <w:pStyle w:val="normal0"/>
              <w:ind w:right="105"/>
              <w:rPr>
                <w:rFonts w:ascii="Muli" w:eastAsia="Muli" w:hAnsi="Muli" w:cs="Muli"/>
                <w:sz w:val="20"/>
                <w:szCs w:val="20"/>
              </w:rPr>
            </w:pPr>
          </w:p>
          <w:p w14:paraId="69E04574" w14:textId="77777777" w:rsidR="003959B7" w:rsidRDefault="00C5473B">
            <w:pPr>
              <w:pStyle w:val="normal0"/>
              <w:numPr>
                <w:ilvl w:val="0"/>
                <w:numId w:val="4"/>
              </w:numPr>
              <w:ind w:right="105"/>
              <w:contextualSpacing/>
              <w:rPr>
                <w:rFonts w:ascii="Muli" w:eastAsia="Muli" w:hAnsi="Muli" w:cs="Muli"/>
                <w:sz w:val="20"/>
                <w:szCs w:val="20"/>
              </w:rPr>
            </w:pPr>
            <w:r>
              <w:rPr>
                <w:rFonts w:ascii="Muli" w:eastAsia="Muli" w:hAnsi="Muli" w:cs="Muli"/>
                <w:sz w:val="20"/>
                <w:szCs w:val="20"/>
              </w:rPr>
              <w:t xml:space="preserve">More detail is provided in the </w:t>
            </w:r>
            <w:r>
              <w:rPr>
                <w:rFonts w:ascii="Muli" w:eastAsia="Muli" w:hAnsi="Muli" w:cs="Muli"/>
                <w:b/>
                <w:color w:val="FF126D"/>
                <w:sz w:val="20"/>
                <w:szCs w:val="20"/>
              </w:rPr>
              <w:t>Driving Question Dividers</w:t>
            </w:r>
            <w:r>
              <w:rPr>
                <w:rFonts w:ascii="Muli" w:eastAsia="Muli" w:hAnsi="Muli" w:cs="Muli"/>
                <w:sz w:val="20"/>
                <w:szCs w:val="20"/>
              </w:rPr>
              <w:t xml:space="preserve"> and </w:t>
            </w:r>
            <w:r>
              <w:rPr>
                <w:rFonts w:ascii="Muli" w:eastAsia="Muli" w:hAnsi="Muli" w:cs="Muli"/>
                <w:b/>
                <w:color w:val="FF126D"/>
                <w:sz w:val="20"/>
                <w:szCs w:val="20"/>
              </w:rPr>
              <w:t>Driving Question Overviews</w:t>
            </w:r>
            <w:r>
              <w:rPr>
                <w:rFonts w:ascii="Muli" w:eastAsia="Muli" w:hAnsi="Muli" w:cs="Muli"/>
                <w:sz w:val="20"/>
                <w:szCs w:val="20"/>
              </w:rPr>
              <w:t>, which tell the story of how students will sequentially use the three dimensions in each lesson in the DQ to answer the question posed. For example, in DQ3 students analyze and interpret data and consider cause and effect to develop a model that describes how matter moves among plants, animals, decomposers, and the environment. This knowledge helps them realize that the energy in animal's food was once energy from the Sun.</w:t>
            </w:r>
          </w:p>
        </w:tc>
        <w:tc>
          <w:tcPr>
            <w:tcW w:w="4845" w:type="dxa"/>
          </w:tcPr>
          <w:p w14:paraId="5BD56C99" w14:textId="77777777" w:rsidR="003959B7" w:rsidRDefault="00C5473B">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5723BE86" wp14:editId="1150EEAD">
                  <wp:extent cx="2773362" cy="3238461"/>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773362" cy="3238461"/>
                          </a:xfrm>
                          <a:prstGeom prst="rect">
                            <a:avLst/>
                          </a:prstGeom>
                          <a:ln/>
                        </pic:spPr>
                      </pic:pic>
                    </a:graphicData>
                  </a:graphic>
                </wp:inline>
              </w:drawing>
            </w:r>
          </w:p>
          <w:p w14:paraId="25B41448" w14:textId="77777777" w:rsidR="003959B7" w:rsidRDefault="00C5473B">
            <w:pPr>
              <w:pStyle w:val="normal0"/>
              <w:ind w:left="90"/>
              <w:rPr>
                <w:rFonts w:ascii="Muli" w:eastAsia="Muli" w:hAnsi="Muli" w:cs="Muli"/>
                <w:b/>
                <w:color w:val="FF0000"/>
                <w:sz w:val="20"/>
                <w:szCs w:val="20"/>
              </w:rPr>
            </w:pPr>
            <w:r>
              <w:rPr>
                <w:rFonts w:ascii="Muli" w:eastAsia="Muli" w:hAnsi="Muli" w:cs="Muli"/>
                <w:b/>
                <w:color w:val="FF0000"/>
                <w:sz w:val="20"/>
                <w:szCs w:val="20"/>
              </w:rPr>
              <w:t>Driving Question Divider TE p. 87</w:t>
            </w:r>
          </w:p>
          <w:p w14:paraId="087ADAD0" w14:textId="77777777" w:rsidR="003959B7" w:rsidRDefault="003959B7">
            <w:pPr>
              <w:pStyle w:val="normal0"/>
              <w:ind w:left="90"/>
              <w:rPr>
                <w:rFonts w:ascii="Muli" w:eastAsia="Muli" w:hAnsi="Muli" w:cs="Muli"/>
                <w:b/>
                <w:color w:val="FF0000"/>
                <w:sz w:val="20"/>
                <w:szCs w:val="20"/>
              </w:rPr>
            </w:pPr>
          </w:p>
          <w:p w14:paraId="6C290A11" w14:textId="77777777" w:rsidR="003959B7" w:rsidRDefault="00C5473B">
            <w:pPr>
              <w:pStyle w:val="normal0"/>
              <w:ind w:left="90"/>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68E12E13" wp14:editId="21B176D4">
                  <wp:extent cx="2733538" cy="2443163"/>
                  <wp:effectExtent l="12700" t="12700" r="12700" b="1270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r="2059"/>
                          <a:stretch>
                            <a:fillRect/>
                          </a:stretch>
                        </pic:blipFill>
                        <pic:spPr>
                          <a:xfrm>
                            <a:off x="0" y="0"/>
                            <a:ext cx="2733538" cy="2443163"/>
                          </a:xfrm>
                          <a:prstGeom prst="rect">
                            <a:avLst/>
                          </a:prstGeom>
                          <a:ln w="12700">
                            <a:solidFill>
                              <a:srgbClr val="CCCCCC"/>
                            </a:solidFill>
                            <a:prstDash val="solid"/>
                          </a:ln>
                        </pic:spPr>
                      </pic:pic>
                    </a:graphicData>
                  </a:graphic>
                </wp:inline>
              </w:drawing>
            </w:r>
          </w:p>
          <w:p w14:paraId="7D742A54"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Driving Question Overview TE p. 120</w:t>
            </w:r>
          </w:p>
        </w:tc>
      </w:tr>
      <w:tr w:rsidR="003959B7" w14:paraId="123241EF" w14:textId="77777777" w:rsidTr="00AF6C9D">
        <w:trPr>
          <w:trHeight w:val="4620"/>
        </w:trPr>
        <w:tc>
          <w:tcPr>
            <w:tcW w:w="9015" w:type="dxa"/>
          </w:tcPr>
          <w:p w14:paraId="58D21DE2" w14:textId="77777777" w:rsidR="003959B7" w:rsidRDefault="00C5473B">
            <w:pPr>
              <w:pStyle w:val="normal0"/>
              <w:numPr>
                <w:ilvl w:val="0"/>
                <w:numId w:val="4"/>
              </w:numPr>
              <w:ind w:right="105"/>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Lesson Overview</w:t>
            </w:r>
            <w:r>
              <w:rPr>
                <w:rFonts w:ascii="Muli" w:eastAsia="Muli" w:hAnsi="Muli" w:cs="Muli"/>
                <w:sz w:val="20"/>
                <w:szCs w:val="20"/>
              </w:rPr>
              <w:t xml:space="preserve"> identifies the dimensions used in each lesson, while the graphic organizer details how the dimensions relate to the learning experience. For example, </w:t>
            </w:r>
            <w:r>
              <w:rPr>
                <w:rFonts w:ascii="Muli" w:eastAsia="Muli" w:hAnsi="Muli" w:cs="Muli"/>
                <w:color w:val="434343"/>
                <w:sz w:val="20"/>
                <w:szCs w:val="20"/>
              </w:rPr>
              <w:t>in DQ4L3</w:t>
            </w:r>
            <w:r>
              <w:rPr>
                <w:rFonts w:ascii="Muli" w:eastAsia="Muli" w:hAnsi="Muli" w:cs="Muli"/>
                <w:sz w:val="20"/>
                <w:szCs w:val="20"/>
              </w:rPr>
              <w:t>, the 3-D Learning Objectives explain that in this lesson students will use an interactive to digitally model energy and matter flow. They connect this learning to a video about food chains, make kinesthetic models of energy moving through a food chain, and complete diagrams that show energy movement.</w:t>
            </w:r>
          </w:p>
          <w:p w14:paraId="0FD14A63" w14:textId="77777777" w:rsidR="003959B7" w:rsidRDefault="003959B7">
            <w:pPr>
              <w:pStyle w:val="normal0"/>
              <w:ind w:right="105"/>
              <w:rPr>
                <w:rFonts w:ascii="Muli" w:eastAsia="Muli" w:hAnsi="Muli" w:cs="Muli"/>
                <w:sz w:val="20"/>
                <w:szCs w:val="20"/>
              </w:rPr>
            </w:pPr>
          </w:p>
        </w:tc>
        <w:tc>
          <w:tcPr>
            <w:tcW w:w="4845" w:type="dxa"/>
          </w:tcPr>
          <w:p w14:paraId="6B1F5EED" w14:textId="77777777" w:rsidR="003959B7" w:rsidRDefault="00C5473B">
            <w:pPr>
              <w:pStyle w:val="normal0"/>
              <w:ind w:left="18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0287A62" wp14:editId="1BEBD380">
                  <wp:extent cx="2735262" cy="254838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735262" cy="2548381"/>
                          </a:xfrm>
                          <a:prstGeom prst="rect">
                            <a:avLst/>
                          </a:prstGeom>
                          <a:ln/>
                        </pic:spPr>
                      </pic:pic>
                    </a:graphicData>
                  </a:graphic>
                </wp:inline>
              </w:drawing>
            </w:r>
          </w:p>
          <w:p w14:paraId="2D899552" w14:textId="77777777" w:rsidR="003959B7" w:rsidRDefault="00C5473B">
            <w:pPr>
              <w:pStyle w:val="normal0"/>
              <w:ind w:left="180" w:hanging="90"/>
              <w:rPr>
                <w:rFonts w:ascii="Muli" w:eastAsia="Muli" w:hAnsi="Muli" w:cs="Muli"/>
                <w:b/>
                <w:color w:val="FF126D"/>
                <w:sz w:val="20"/>
                <w:szCs w:val="20"/>
              </w:rPr>
            </w:pPr>
            <w:r>
              <w:rPr>
                <w:rFonts w:ascii="Muli" w:eastAsia="Muli" w:hAnsi="Muli" w:cs="Muli"/>
                <w:b/>
                <w:color w:val="FF126D"/>
                <w:sz w:val="20"/>
                <w:szCs w:val="20"/>
              </w:rPr>
              <w:t>Lesson Overview TE p. 14</w:t>
            </w:r>
          </w:p>
        </w:tc>
      </w:tr>
    </w:tbl>
    <w:p w14:paraId="2D182AD1" w14:textId="77777777" w:rsidR="003959B7" w:rsidRDefault="003959B7">
      <w:pPr>
        <w:pStyle w:val="normal0"/>
        <w:spacing w:line="276" w:lineRule="auto"/>
        <w:rPr>
          <w:rFonts w:ascii="Muli" w:eastAsia="Muli" w:hAnsi="Muli" w:cs="Muli"/>
          <w:sz w:val="20"/>
          <w:szCs w:val="20"/>
        </w:rPr>
      </w:pPr>
    </w:p>
    <w:p w14:paraId="132F6839" w14:textId="77777777" w:rsidR="003959B7" w:rsidRDefault="003959B7">
      <w:pPr>
        <w:pStyle w:val="normal0"/>
        <w:ind w:left="180"/>
        <w:rPr>
          <w:rFonts w:ascii="Muli" w:eastAsia="Muli" w:hAnsi="Muli" w:cs="Muli"/>
          <w:sz w:val="20"/>
          <w:szCs w:val="20"/>
        </w:rPr>
      </w:pPr>
    </w:p>
    <w:p w14:paraId="1CBE1373" w14:textId="77777777" w:rsidR="003959B7" w:rsidRDefault="003959B7">
      <w:pPr>
        <w:pStyle w:val="normal0"/>
        <w:pBdr>
          <w:top w:val="nil"/>
          <w:left w:val="nil"/>
          <w:bottom w:val="nil"/>
          <w:right w:val="nil"/>
          <w:between w:val="nil"/>
        </w:pBdr>
        <w:spacing w:line="276" w:lineRule="auto"/>
        <w:ind w:left="180"/>
        <w:rPr>
          <w:rFonts w:ascii="Muli" w:eastAsia="Muli" w:hAnsi="Muli" w:cs="Muli"/>
          <w:sz w:val="20"/>
          <w:szCs w:val="20"/>
        </w:rPr>
      </w:pPr>
    </w:p>
    <w:p w14:paraId="42FCD3DB" w14:textId="77777777" w:rsidR="003959B7" w:rsidRDefault="003959B7">
      <w:pPr>
        <w:pStyle w:val="normal0"/>
        <w:pBdr>
          <w:top w:val="nil"/>
          <w:left w:val="nil"/>
          <w:bottom w:val="nil"/>
          <w:right w:val="nil"/>
          <w:between w:val="nil"/>
        </w:pBdr>
        <w:ind w:left="180"/>
        <w:rPr>
          <w:rFonts w:ascii="Muli" w:eastAsia="Muli" w:hAnsi="Muli" w:cs="Muli"/>
          <w:color w:val="000000"/>
          <w:sz w:val="20"/>
          <w:szCs w:val="20"/>
        </w:rPr>
      </w:pPr>
    </w:p>
    <w:p w14:paraId="7858516C" w14:textId="77777777" w:rsidR="003959B7" w:rsidRDefault="003959B7">
      <w:pPr>
        <w:pStyle w:val="normal0"/>
        <w:spacing w:line="276" w:lineRule="auto"/>
        <w:rPr>
          <w:rFonts w:ascii="Muli" w:eastAsia="Muli" w:hAnsi="Muli" w:cs="Muli"/>
          <w:sz w:val="20"/>
          <w:szCs w:val="20"/>
        </w:rPr>
      </w:pPr>
    </w:p>
    <w:tbl>
      <w:tblPr>
        <w:tblStyle w:val="a2"/>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75"/>
      </w:tblGrid>
      <w:tr w:rsidR="003959B7" w14:paraId="66892C74" w14:textId="77777777" w:rsidTr="00AF6C9D">
        <w:trPr>
          <w:trHeight w:val="760"/>
        </w:trPr>
        <w:tc>
          <w:tcPr>
            <w:tcW w:w="13875" w:type="dxa"/>
            <w:shd w:val="clear" w:color="auto" w:fill="2F5496"/>
          </w:tcPr>
          <w:p w14:paraId="6F388668" w14:textId="77777777" w:rsidR="003959B7" w:rsidRDefault="00C5473B">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377B54E7" w14:textId="77777777" w:rsidR="003959B7" w:rsidRDefault="003959B7">
      <w:pPr>
        <w:pStyle w:val="normal0"/>
        <w:spacing w:before="6" w:after="1"/>
        <w:rPr>
          <w:rFonts w:ascii="Muli" w:eastAsia="Muli" w:hAnsi="Muli" w:cs="Muli"/>
          <w:b/>
          <w:sz w:val="20"/>
          <w:szCs w:val="20"/>
        </w:rPr>
      </w:pPr>
    </w:p>
    <w:tbl>
      <w:tblPr>
        <w:tblStyle w:val="a3"/>
        <w:tblW w:w="1389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gridCol w:w="1000"/>
        <w:gridCol w:w="1400"/>
        <w:gridCol w:w="1038"/>
      </w:tblGrid>
      <w:tr w:rsidR="003959B7" w14:paraId="2955FE43" w14:textId="77777777" w:rsidTr="00AF6C9D">
        <w:trPr>
          <w:trHeight w:val="240"/>
        </w:trPr>
        <w:tc>
          <w:tcPr>
            <w:tcW w:w="10455" w:type="dxa"/>
            <w:shd w:val="clear" w:color="auto" w:fill="FF126D"/>
          </w:tcPr>
          <w:p w14:paraId="1174F7F0" w14:textId="77777777" w:rsidR="003959B7" w:rsidRDefault="00C5473B">
            <w:pPr>
              <w:pStyle w:val="normal0"/>
              <w:spacing w:before="1"/>
              <w:ind w:left="180" w:right="150"/>
              <w:rPr>
                <w:rFonts w:ascii="Muli" w:eastAsia="Muli" w:hAnsi="Muli" w:cs="Muli"/>
                <w:sz w:val="20"/>
                <w:szCs w:val="20"/>
              </w:rPr>
            </w:pPr>
            <w:r>
              <w:rPr>
                <w:rFonts w:ascii="Muli" w:eastAsia="Muli" w:hAnsi="Muli" w:cs="Muli"/>
                <w:color w:val="FFFFFF"/>
                <w:sz w:val="20"/>
                <w:szCs w:val="20"/>
              </w:rPr>
              <w:t>Teacher materials…</w:t>
            </w:r>
          </w:p>
        </w:tc>
        <w:tc>
          <w:tcPr>
            <w:tcW w:w="1000" w:type="dxa"/>
            <w:shd w:val="clear" w:color="auto" w:fill="FF126D"/>
          </w:tcPr>
          <w:p w14:paraId="4F5879BE" w14:textId="77777777" w:rsidR="003959B7" w:rsidRDefault="00C5473B">
            <w:pPr>
              <w:pStyle w:val="normal0"/>
              <w:spacing w:before="1"/>
              <w:ind w:left="180" w:right="150"/>
              <w:rPr>
                <w:rFonts w:ascii="Muli" w:eastAsia="Muli" w:hAnsi="Muli" w:cs="Muli"/>
                <w:sz w:val="20"/>
                <w:szCs w:val="20"/>
              </w:rPr>
            </w:pPr>
            <w:r>
              <w:rPr>
                <w:rFonts w:ascii="Muli" w:eastAsia="Muli" w:hAnsi="Muli" w:cs="Muli"/>
                <w:color w:val="FFFFFF"/>
                <w:sz w:val="20"/>
                <w:szCs w:val="20"/>
              </w:rPr>
              <w:t>Strong</w:t>
            </w:r>
          </w:p>
        </w:tc>
        <w:tc>
          <w:tcPr>
            <w:tcW w:w="1400" w:type="dxa"/>
            <w:shd w:val="clear" w:color="auto" w:fill="FF126D"/>
          </w:tcPr>
          <w:p w14:paraId="104359C6" w14:textId="77777777" w:rsidR="003959B7" w:rsidRDefault="00C5473B">
            <w:pPr>
              <w:pStyle w:val="normal0"/>
              <w:spacing w:before="1"/>
              <w:ind w:left="180" w:right="150"/>
              <w:rPr>
                <w:rFonts w:ascii="Muli" w:eastAsia="Muli" w:hAnsi="Muli" w:cs="Muli"/>
                <w:sz w:val="20"/>
                <w:szCs w:val="20"/>
              </w:rPr>
            </w:pPr>
            <w:r>
              <w:rPr>
                <w:rFonts w:ascii="Muli" w:eastAsia="Muli" w:hAnsi="Muli" w:cs="Muli"/>
                <w:color w:val="FFFFFF"/>
                <w:sz w:val="20"/>
                <w:szCs w:val="20"/>
              </w:rPr>
              <w:t>Adequate</w:t>
            </w:r>
          </w:p>
        </w:tc>
        <w:tc>
          <w:tcPr>
            <w:tcW w:w="1038" w:type="dxa"/>
            <w:shd w:val="clear" w:color="auto" w:fill="FF126D"/>
          </w:tcPr>
          <w:p w14:paraId="02D7BC0D" w14:textId="77777777" w:rsidR="003959B7" w:rsidRDefault="00C5473B">
            <w:pPr>
              <w:pStyle w:val="normal0"/>
              <w:spacing w:before="1"/>
              <w:ind w:left="180" w:right="150"/>
              <w:rPr>
                <w:rFonts w:ascii="Muli" w:eastAsia="Muli" w:hAnsi="Muli" w:cs="Muli"/>
                <w:sz w:val="20"/>
                <w:szCs w:val="20"/>
              </w:rPr>
            </w:pPr>
            <w:r>
              <w:rPr>
                <w:rFonts w:ascii="Muli" w:eastAsia="Muli" w:hAnsi="Muli" w:cs="Muli"/>
                <w:color w:val="FFFFFF"/>
                <w:sz w:val="20"/>
                <w:szCs w:val="20"/>
              </w:rPr>
              <w:t>Weak</w:t>
            </w:r>
          </w:p>
        </w:tc>
      </w:tr>
      <w:tr w:rsidR="003959B7" w14:paraId="4E48E468" w14:textId="77777777" w:rsidTr="00AF6C9D">
        <w:trPr>
          <w:trHeight w:val="480"/>
        </w:trPr>
        <w:tc>
          <w:tcPr>
            <w:tcW w:w="10455" w:type="dxa"/>
          </w:tcPr>
          <w:p w14:paraId="63082B61" w14:textId="77777777" w:rsidR="003959B7" w:rsidRDefault="00C5473B">
            <w:pPr>
              <w:pStyle w:val="normal0"/>
              <w:spacing w:before="1"/>
              <w:ind w:left="114" w:right="423"/>
              <w:rPr>
                <w:rFonts w:ascii="Muli" w:eastAsia="Muli" w:hAnsi="Muli" w:cs="Muli"/>
                <w:sz w:val="20"/>
                <w:szCs w:val="20"/>
              </w:rPr>
            </w:pPr>
            <w:r>
              <w:rPr>
                <w:rFonts w:ascii="Muli" w:eastAsia="Muli" w:hAnsi="Muli" w:cs="Muli"/>
                <w:b/>
                <w:sz w:val="20"/>
                <w:szCs w:val="20"/>
              </w:rPr>
              <w:t xml:space="preserve">SW1. Phenomena/Problems. </w:t>
            </w:r>
            <w:r>
              <w:rPr>
                <w:rFonts w:ascii="Muli" w:eastAsia="Muli" w:hAnsi="Muli" w:cs="Muli"/>
                <w:sz w:val="20"/>
                <w:szCs w:val="20"/>
              </w:rPr>
              <w:t>Provide support and strategies for how to help students figure out/solve authentic and relevant phenomena/problems using the three dimensions.</w:t>
            </w:r>
          </w:p>
        </w:tc>
        <w:tc>
          <w:tcPr>
            <w:tcW w:w="1000" w:type="dxa"/>
          </w:tcPr>
          <w:p w14:paraId="4B750D51"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00" w:type="dxa"/>
          </w:tcPr>
          <w:p w14:paraId="648CB789" w14:textId="77777777" w:rsidR="003959B7" w:rsidRDefault="003959B7">
            <w:pPr>
              <w:pStyle w:val="normal0"/>
              <w:rPr>
                <w:rFonts w:ascii="Muli" w:eastAsia="Muli" w:hAnsi="Muli" w:cs="Muli"/>
                <w:sz w:val="20"/>
                <w:szCs w:val="20"/>
              </w:rPr>
            </w:pPr>
          </w:p>
        </w:tc>
        <w:tc>
          <w:tcPr>
            <w:tcW w:w="1038" w:type="dxa"/>
          </w:tcPr>
          <w:p w14:paraId="0569FE2E" w14:textId="77777777" w:rsidR="003959B7" w:rsidRDefault="003959B7">
            <w:pPr>
              <w:pStyle w:val="normal0"/>
              <w:rPr>
                <w:rFonts w:ascii="Muli" w:eastAsia="Muli" w:hAnsi="Muli" w:cs="Muli"/>
                <w:sz w:val="20"/>
                <w:szCs w:val="20"/>
              </w:rPr>
            </w:pPr>
          </w:p>
        </w:tc>
      </w:tr>
      <w:tr w:rsidR="003959B7" w14:paraId="609047F6" w14:textId="77777777" w:rsidTr="00AF6C9D">
        <w:trPr>
          <w:trHeight w:val="324"/>
        </w:trPr>
        <w:tc>
          <w:tcPr>
            <w:tcW w:w="10455" w:type="dxa"/>
            <w:vMerge w:val="restart"/>
            <w:tcBorders>
              <w:bottom w:val="nil"/>
              <w:right w:val="nil"/>
            </w:tcBorders>
          </w:tcPr>
          <w:p w14:paraId="5D6F3E60" w14:textId="77777777" w:rsidR="003959B7" w:rsidRDefault="00C5473B">
            <w:pPr>
              <w:pStyle w:val="normal0"/>
              <w:spacing w:before="1"/>
              <w:ind w:left="114"/>
              <w:rPr>
                <w:rFonts w:ascii="Muli" w:eastAsia="Muli" w:hAnsi="Muli" w:cs="Muli"/>
                <w:sz w:val="20"/>
                <w:szCs w:val="20"/>
              </w:rPr>
            </w:pPr>
            <w:r>
              <w:rPr>
                <w:rFonts w:ascii="Muli" w:eastAsia="Muli" w:hAnsi="Muli" w:cs="Muli"/>
                <w:b/>
                <w:sz w:val="20"/>
                <w:szCs w:val="20"/>
              </w:rPr>
              <w:t xml:space="preserve">SW2. Three-dimensional Conceptual Framework. </w:t>
            </w:r>
            <w:r>
              <w:rPr>
                <w:rFonts w:ascii="Muli" w:eastAsia="Muli" w:hAnsi="Muli" w:cs="Muli"/>
                <w:sz w:val="20"/>
                <w:szCs w:val="20"/>
              </w:rPr>
              <w:t>Provide support and strategies for how teachers:</w:t>
            </w:r>
          </w:p>
          <w:p w14:paraId="0FB8C57D" w14:textId="77777777" w:rsidR="003959B7" w:rsidRDefault="00C5473B">
            <w:pPr>
              <w:pStyle w:val="normal0"/>
              <w:numPr>
                <w:ilvl w:val="0"/>
                <w:numId w:val="9"/>
              </w:numPr>
              <w:tabs>
                <w:tab w:val="left" w:pos="834"/>
                <w:tab w:val="left" w:pos="835"/>
              </w:tabs>
              <w:spacing w:before="13"/>
              <w:ind w:right="640"/>
              <w:rPr>
                <w:rFonts w:ascii="Muli" w:eastAsia="Muli" w:hAnsi="Muli" w:cs="Muli"/>
              </w:rPr>
            </w:pPr>
            <w:r>
              <w:rPr>
                <w:rFonts w:ascii="Muli" w:eastAsia="Muli" w:hAnsi="Muli" w:cs="Muli"/>
                <w:sz w:val="20"/>
                <w:szCs w:val="20"/>
              </w:rPr>
              <w:t>help students develop a conceptual framework of scientifically accurate understandings and abilities related to DCIs, SEPs, and CCCs, CNS and CETAS, ELA and math,</w:t>
            </w:r>
          </w:p>
          <w:p w14:paraId="3E7D135E" w14:textId="77777777" w:rsidR="003959B7" w:rsidRDefault="00C5473B">
            <w:pPr>
              <w:pStyle w:val="normal0"/>
              <w:numPr>
                <w:ilvl w:val="0"/>
                <w:numId w:val="7"/>
              </w:numPr>
              <w:tabs>
                <w:tab w:val="left" w:pos="834"/>
                <w:tab w:val="left" w:pos="835"/>
              </w:tabs>
              <w:spacing w:before="14"/>
              <w:ind w:right="143"/>
              <w:rPr>
                <w:rFonts w:ascii="Muli" w:eastAsia="Muli" w:hAnsi="Muli" w:cs="Muli"/>
              </w:rPr>
            </w:pPr>
            <w:r>
              <w:rPr>
                <w:rFonts w:ascii="Muli" w:eastAsia="Muli" w:hAnsi="Muli" w:cs="Muli"/>
                <w:sz w:val="20"/>
                <w:szCs w:val="20"/>
              </w:rPr>
              <w:t>create a learning environment that values students’ ideas, motivates learning, and helps students negotiate new meaning as they interact with others’ ideas, new information, and new experiences.</w:t>
            </w:r>
          </w:p>
        </w:tc>
        <w:tc>
          <w:tcPr>
            <w:tcW w:w="1000" w:type="dxa"/>
            <w:vMerge w:val="restart"/>
          </w:tcPr>
          <w:p w14:paraId="5F5CD783"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00" w:type="dxa"/>
            <w:vMerge w:val="restart"/>
          </w:tcPr>
          <w:p w14:paraId="07C498AE" w14:textId="77777777" w:rsidR="003959B7" w:rsidRDefault="003959B7">
            <w:pPr>
              <w:pStyle w:val="normal0"/>
              <w:rPr>
                <w:rFonts w:ascii="Muli" w:eastAsia="Muli" w:hAnsi="Muli" w:cs="Muli"/>
                <w:sz w:val="20"/>
                <w:szCs w:val="20"/>
              </w:rPr>
            </w:pPr>
          </w:p>
        </w:tc>
        <w:tc>
          <w:tcPr>
            <w:tcW w:w="1038" w:type="dxa"/>
            <w:vMerge w:val="restart"/>
          </w:tcPr>
          <w:p w14:paraId="1C2207C1" w14:textId="77777777" w:rsidR="003959B7" w:rsidRDefault="003959B7">
            <w:pPr>
              <w:pStyle w:val="normal0"/>
              <w:rPr>
                <w:rFonts w:ascii="Muli" w:eastAsia="Muli" w:hAnsi="Muli" w:cs="Muli"/>
                <w:sz w:val="20"/>
                <w:szCs w:val="20"/>
              </w:rPr>
            </w:pPr>
          </w:p>
        </w:tc>
      </w:tr>
      <w:tr w:rsidR="003959B7" w14:paraId="4852BA1F" w14:textId="77777777" w:rsidTr="00AF6C9D">
        <w:trPr>
          <w:trHeight w:val="295"/>
        </w:trPr>
        <w:tc>
          <w:tcPr>
            <w:tcW w:w="10455" w:type="dxa"/>
            <w:vMerge/>
            <w:tcBorders>
              <w:bottom w:val="nil"/>
              <w:right w:val="nil"/>
            </w:tcBorders>
          </w:tcPr>
          <w:p w14:paraId="1A2581D6" w14:textId="77777777" w:rsidR="003959B7" w:rsidRDefault="003959B7">
            <w:pPr>
              <w:pStyle w:val="normal0"/>
              <w:rPr>
                <w:rFonts w:ascii="Muli" w:eastAsia="Muli" w:hAnsi="Muli" w:cs="Muli"/>
                <w:sz w:val="20"/>
                <w:szCs w:val="20"/>
              </w:rPr>
            </w:pPr>
          </w:p>
        </w:tc>
        <w:tc>
          <w:tcPr>
            <w:tcW w:w="1000" w:type="dxa"/>
            <w:vMerge/>
          </w:tcPr>
          <w:p w14:paraId="2BF29D93" w14:textId="77777777" w:rsidR="003959B7" w:rsidRDefault="003959B7">
            <w:pPr>
              <w:pStyle w:val="normal0"/>
              <w:rPr>
                <w:rFonts w:ascii="Muli" w:eastAsia="Muli" w:hAnsi="Muli" w:cs="Muli"/>
                <w:sz w:val="20"/>
                <w:szCs w:val="20"/>
              </w:rPr>
            </w:pPr>
          </w:p>
        </w:tc>
        <w:tc>
          <w:tcPr>
            <w:tcW w:w="1400" w:type="dxa"/>
            <w:vMerge/>
          </w:tcPr>
          <w:p w14:paraId="1593D809" w14:textId="77777777" w:rsidR="003959B7" w:rsidRDefault="003959B7">
            <w:pPr>
              <w:pStyle w:val="normal0"/>
              <w:rPr>
                <w:rFonts w:ascii="Muli" w:eastAsia="Muli" w:hAnsi="Muli" w:cs="Muli"/>
                <w:sz w:val="20"/>
                <w:szCs w:val="20"/>
              </w:rPr>
            </w:pPr>
          </w:p>
        </w:tc>
        <w:tc>
          <w:tcPr>
            <w:tcW w:w="1038" w:type="dxa"/>
            <w:vMerge/>
          </w:tcPr>
          <w:p w14:paraId="63D39D9F" w14:textId="77777777" w:rsidR="003959B7" w:rsidRDefault="003959B7">
            <w:pPr>
              <w:pStyle w:val="normal0"/>
              <w:rPr>
                <w:rFonts w:ascii="Muli" w:eastAsia="Muli" w:hAnsi="Muli" w:cs="Muli"/>
                <w:sz w:val="20"/>
                <w:szCs w:val="20"/>
              </w:rPr>
            </w:pPr>
          </w:p>
        </w:tc>
      </w:tr>
      <w:tr w:rsidR="003959B7" w14:paraId="117A622E" w14:textId="77777777" w:rsidTr="00AF6C9D">
        <w:trPr>
          <w:trHeight w:val="295"/>
        </w:trPr>
        <w:tc>
          <w:tcPr>
            <w:tcW w:w="10455" w:type="dxa"/>
            <w:vMerge/>
            <w:tcBorders>
              <w:bottom w:val="nil"/>
              <w:right w:val="nil"/>
            </w:tcBorders>
          </w:tcPr>
          <w:p w14:paraId="28BB1D8A" w14:textId="77777777" w:rsidR="003959B7" w:rsidRDefault="003959B7">
            <w:pPr>
              <w:pStyle w:val="normal0"/>
              <w:rPr>
                <w:rFonts w:ascii="Muli" w:eastAsia="Muli" w:hAnsi="Muli" w:cs="Muli"/>
                <w:sz w:val="20"/>
                <w:szCs w:val="20"/>
              </w:rPr>
            </w:pPr>
          </w:p>
        </w:tc>
        <w:tc>
          <w:tcPr>
            <w:tcW w:w="1000" w:type="dxa"/>
            <w:vMerge/>
          </w:tcPr>
          <w:p w14:paraId="2D690EA7" w14:textId="77777777" w:rsidR="003959B7" w:rsidRDefault="003959B7">
            <w:pPr>
              <w:pStyle w:val="normal0"/>
              <w:rPr>
                <w:rFonts w:ascii="Muli" w:eastAsia="Muli" w:hAnsi="Muli" w:cs="Muli"/>
                <w:sz w:val="20"/>
                <w:szCs w:val="20"/>
              </w:rPr>
            </w:pPr>
          </w:p>
        </w:tc>
        <w:tc>
          <w:tcPr>
            <w:tcW w:w="1400" w:type="dxa"/>
            <w:vMerge/>
          </w:tcPr>
          <w:p w14:paraId="3263D624" w14:textId="77777777" w:rsidR="003959B7" w:rsidRDefault="003959B7">
            <w:pPr>
              <w:pStyle w:val="normal0"/>
              <w:rPr>
                <w:rFonts w:ascii="Muli" w:eastAsia="Muli" w:hAnsi="Muli" w:cs="Muli"/>
                <w:sz w:val="20"/>
                <w:szCs w:val="20"/>
              </w:rPr>
            </w:pPr>
          </w:p>
        </w:tc>
        <w:tc>
          <w:tcPr>
            <w:tcW w:w="1038" w:type="dxa"/>
            <w:vMerge/>
          </w:tcPr>
          <w:p w14:paraId="3B1AE2C5" w14:textId="77777777" w:rsidR="003959B7" w:rsidRDefault="003959B7">
            <w:pPr>
              <w:pStyle w:val="normal0"/>
              <w:rPr>
                <w:rFonts w:ascii="Muli" w:eastAsia="Muli" w:hAnsi="Muli" w:cs="Muli"/>
                <w:sz w:val="20"/>
                <w:szCs w:val="20"/>
              </w:rPr>
            </w:pPr>
          </w:p>
        </w:tc>
      </w:tr>
      <w:tr w:rsidR="003959B7" w14:paraId="3DC1B54A" w14:textId="77777777" w:rsidTr="00AF6C9D">
        <w:trPr>
          <w:trHeight w:val="520"/>
        </w:trPr>
        <w:tc>
          <w:tcPr>
            <w:tcW w:w="10455" w:type="dxa"/>
            <w:vMerge/>
            <w:tcBorders>
              <w:top w:val="nil"/>
              <w:right w:val="nil"/>
            </w:tcBorders>
          </w:tcPr>
          <w:p w14:paraId="1F15448C" w14:textId="77777777" w:rsidR="003959B7" w:rsidRDefault="003959B7">
            <w:pPr>
              <w:pStyle w:val="normal0"/>
              <w:tabs>
                <w:tab w:val="left" w:pos="834"/>
                <w:tab w:val="left" w:pos="835"/>
              </w:tabs>
              <w:ind w:right="143"/>
              <w:rPr>
                <w:rFonts w:ascii="Muli" w:eastAsia="Muli" w:hAnsi="Muli" w:cs="Muli"/>
                <w:sz w:val="20"/>
                <w:szCs w:val="20"/>
              </w:rPr>
            </w:pPr>
          </w:p>
        </w:tc>
        <w:tc>
          <w:tcPr>
            <w:tcW w:w="1000" w:type="dxa"/>
            <w:vMerge/>
          </w:tcPr>
          <w:p w14:paraId="0DF36D6E" w14:textId="77777777" w:rsidR="003959B7" w:rsidRDefault="003959B7">
            <w:pPr>
              <w:pStyle w:val="normal0"/>
              <w:rPr>
                <w:rFonts w:ascii="Muli" w:eastAsia="Muli" w:hAnsi="Muli" w:cs="Muli"/>
                <w:sz w:val="20"/>
                <w:szCs w:val="20"/>
              </w:rPr>
            </w:pPr>
          </w:p>
        </w:tc>
        <w:tc>
          <w:tcPr>
            <w:tcW w:w="1400" w:type="dxa"/>
            <w:vMerge/>
          </w:tcPr>
          <w:p w14:paraId="4EB9BBC6" w14:textId="77777777" w:rsidR="003959B7" w:rsidRDefault="003959B7">
            <w:pPr>
              <w:pStyle w:val="normal0"/>
              <w:rPr>
                <w:rFonts w:ascii="Muli" w:eastAsia="Muli" w:hAnsi="Muli" w:cs="Muli"/>
                <w:sz w:val="20"/>
                <w:szCs w:val="20"/>
              </w:rPr>
            </w:pPr>
          </w:p>
        </w:tc>
        <w:tc>
          <w:tcPr>
            <w:tcW w:w="1038" w:type="dxa"/>
            <w:vMerge/>
          </w:tcPr>
          <w:p w14:paraId="46657837" w14:textId="77777777" w:rsidR="003959B7" w:rsidRDefault="003959B7">
            <w:pPr>
              <w:pStyle w:val="normal0"/>
              <w:rPr>
                <w:rFonts w:ascii="Muli" w:eastAsia="Muli" w:hAnsi="Muli" w:cs="Muli"/>
                <w:sz w:val="20"/>
                <w:szCs w:val="20"/>
              </w:rPr>
            </w:pPr>
          </w:p>
        </w:tc>
      </w:tr>
      <w:tr w:rsidR="003959B7" w14:paraId="3EAF0697" w14:textId="77777777" w:rsidTr="00AF6C9D">
        <w:trPr>
          <w:trHeight w:val="480"/>
        </w:trPr>
        <w:tc>
          <w:tcPr>
            <w:tcW w:w="10455" w:type="dxa"/>
          </w:tcPr>
          <w:p w14:paraId="4B54B385" w14:textId="77777777" w:rsidR="003959B7" w:rsidRDefault="00C5473B">
            <w:pPr>
              <w:pStyle w:val="normal0"/>
              <w:spacing w:before="1"/>
              <w:ind w:left="114" w:right="698"/>
              <w:rPr>
                <w:rFonts w:ascii="Muli" w:eastAsia="Muli" w:hAnsi="Muli" w:cs="Muli"/>
                <w:sz w:val="20"/>
                <w:szCs w:val="20"/>
              </w:rPr>
            </w:pPr>
            <w:r>
              <w:rPr>
                <w:rFonts w:ascii="Muli" w:eastAsia="Muli" w:hAnsi="Muli" w:cs="Muli"/>
                <w:b/>
                <w:sz w:val="20"/>
                <w:szCs w:val="20"/>
              </w:rPr>
              <w:lastRenderedPageBreak/>
              <w:t xml:space="preserve">SW3. Prior Knowledge. </w:t>
            </w:r>
            <w:r>
              <w:rPr>
                <w:rFonts w:ascii="Muli" w:eastAsia="Muli" w:hAnsi="Muli" w:cs="Muli"/>
                <w:sz w:val="20"/>
                <w:szCs w:val="20"/>
              </w:rPr>
              <w:t>Provide support and strategies to leverage students’ prior knowledge and experiences to motivate learning.</w:t>
            </w:r>
          </w:p>
        </w:tc>
        <w:tc>
          <w:tcPr>
            <w:tcW w:w="1000" w:type="dxa"/>
          </w:tcPr>
          <w:p w14:paraId="0B77D4C7" w14:textId="77777777" w:rsidR="003959B7" w:rsidRDefault="00C5473B">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00" w:type="dxa"/>
          </w:tcPr>
          <w:p w14:paraId="0F2A9982" w14:textId="77777777" w:rsidR="003959B7" w:rsidRDefault="003959B7">
            <w:pPr>
              <w:pStyle w:val="normal0"/>
              <w:rPr>
                <w:rFonts w:ascii="Muli" w:eastAsia="Muli" w:hAnsi="Muli" w:cs="Muli"/>
                <w:sz w:val="20"/>
                <w:szCs w:val="20"/>
              </w:rPr>
            </w:pPr>
          </w:p>
        </w:tc>
        <w:tc>
          <w:tcPr>
            <w:tcW w:w="1038" w:type="dxa"/>
          </w:tcPr>
          <w:p w14:paraId="704FC114" w14:textId="77777777" w:rsidR="003959B7" w:rsidRDefault="003959B7">
            <w:pPr>
              <w:pStyle w:val="normal0"/>
              <w:rPr>
                <w:rFonts w:ascii="Muli" w:eastAsia="Muli" w:hAnsi="Muli" w:cs="Muli"/>
                <w:sz w:val="20"/>
                <w:szCs w:val="20"/>
              </w:rPr>
            </w:pPr>
          </w:p>
        </w:tc>
      </w:tr>
      <w:tr w:rsidR="003959B7" w14:paraId="41EDF6C9" w14:textId="77777777" w:rsidTr="00AF6C9D">
        <w:trPr>
          <w:trHeight w:val="380"/>
        </w:trPr>
        <w:tc>
          <w:tcPr>
            <w:tcW w:w="10455" w:type="dxa"/>
          </w:tcPr>
          <w:p w14:paraId="5B9C9F1A" w14:textId="77777777" w:rsidR="003959B7" w:rsidRDefault="00C5473B">
            <w:pPr>
              <w:pStyle w:val="normal0"/>
              <w:spacing w:before="1"/>
              <w:ind w:left="114"/>
              <w:rPr>
                <w:rFonts w:ascii="Muli" w:eastAsia="Muli" w:hAnsi="Muli" w:cs="Muli"/>
                <w:sz w:val="20"/>
                <w:szCs w:val="20"/>
              </w:rPr>
            </w:pPr>
            <w:r>
              <w:rPr>
                <w:rFonts w:ascii="Muli" w:eastAsia="Muli" w:hAnsi="Muli" w:cs="Muli"/>
                <w:b/>
                <w:sz w:val="20"/>
                <w:szCs w:val="20"/>
              </w:rPr>
              <w:t xml:space="preserve">SW4. Metacognitive Abilities. </w:t>
            </w:r>
            <w:r>
              <w:rPr>
                <w:rFonts w:ascii="Muli" w:eastAsia="Muli" w:hAnsi="Muli" w:cs="Muli"/>
                <w:sz w:val="20"/>
                <w:szCs w:val="20"/>
              </w:rPr>
              <w:t>Provide support and strategies for how to help students develop metacognitive abilities.</w:t>
            </w:r>
          </w:p>
        </w:tc>
        <w:tc>
          <w:tcPr>
            <w:tcW w:w="1000" w:type="dxa"/>
          </w:tcPr>
          <w:p w14:paraId="229096E4" w14:textId="77777777" w:rsidR="003959B7" w:rsidRDefault="00C5473B">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00" w:type="dxa"/>
          </w:tcPr>
          <w:p w14:paraId="1FF978A1" w14:textId="77777777" w:rsidR="003959B7" w:rsidRDefault="003959B7">
            <w:pPr>
              <w:pStyle w:val="normal0"/>
              <w:rPr>
                <w:rFonts w:ascii="Muli" w:eastAsia="Muli" w:hAnsi="Muli" w:cs="Muli"/>
                <w:sz w:val="20"/>
                <w:szCs w:val="20"/>
              </w:rPr>
            </w:pPr>
          </w:p>
        </w:tc>
        <w:tc>
          <w:tcPr>
            <w:tcW w:w="1038" w:type="dxa"/>
          </w:tcPr>
          <w:p w14:paraId="40957D1F" w14:textId="77777777" w:rsidR="003959B7" w:rsidRDefault="003959B7">
            <w:pPr>
              <w:pStyle w:val="normal0"/>
              <w:rPr>
                <w:rFonts w:ascii="Muli" w:eastAsia="Muli" w:hAnsi="Muli" w:cs="Muli"/>
                <w:sz w:val="20"/>
                <w:szCs w:val="20"/>
              </w:rPr>
            </w:pPr>
          </w:p>
        </w:tc>
      </w:tr>
      <w:tr w:rsidR="003959B7" w14:paraId="670626BC" w14:textId="77777777" w:rsidTr="00AF6C9D">
        <w:trPr>
          <w:trHeight w:val="1060"/>
        </w:trPr>
        <w:tc>
          <w:tcPr>
            <w:tcW w:w="10455" w:type="dxa"/>
          </w:tcPr>
          <w:p w14:paraId="612165C5" w14:textId="77777777" w:rsidR="003959B7" w:rsidRDefault="00C5473B">
            <w:pPr>
              <w:pStyle w:val="normal0"/>
              <w:spacing w:before="1" w:line="242" w:lineRule="auto"/>
              <w:ind w:left="114"/>
              <w:rPr>
                <w:rFonts w:ascii="Muli" w:eastAsia="Muli" w:hAnsi="Muli" w:cs="Muli"/>
                <w:sz w:val="20"/>
                <w:szCs w:val="20"/>
              </w:rPr>
            </w:pPr>
            <w:r>
              <w:rPr>
                <w:rFonts w:ascii="Muli" w:eastAsia="Muli" w:hAnsi="Muli" w:cs="Muli"/>
                <w:b/>
                <w:sz w:val="20"/>
                <w:szCs w:val="20"/>
              </w:rPr>
              <w:t xml:space="preserve">SW5. Equitable Learning Opportunities. </w:t>
            </w:r>
            <w:r>
              <w:rPr>
                <w:rFonts w:ascii="Muli" w:eastAsia="Muli" w:hAnsi="Muli" w:cs="Muli"/>
                <w:sz w:val="20"/>
                <w:szCs w:val="20"/>
              </w:rPr>
              <w:t xml:space="preserve">Provide resources and strategies for how to ensure that </w:t>
            </w:r>
            <w:r>
              <w:rPr>
                <w:rFonts w:ascii="Muli" w:eastAsia="Muli" w:hAnsi="Muli" w:cs="Muli"/>
                <w:b/>
                <w:i/>
                <w:sz w:val="20"/>
                <w:szCs w:val="20"/>
              </w:rPr>
              <w:t xml:space="preserve">all </w:t>
            </w:r>
            <w:r>
              <w:rPr>
                <w:rFonts w:ascii="Muli" w:eastAsia="Muli" w:hAnsi="Muli" w:cs="Muli"/>
                <w:sz w:val="20"/>
                <w:szCs w:val="20"/>
              </w:rPr>
              <w:t>students, including those from non-dominant groups and with diverse learning needs, have access to the targeted learning goals and experiences.</w:t>
            </w:r>
          </w:p>
        </w:tc>
        <w:tc>
          <w:tcPr>
            <w:tcW w:w="1000" w:type="dxa"/>
          </w:tcPr>
          <w:p w14:paraId="594A0DDB" w14:textId="77777777" w:rsidR="003959B7" w:rsidRDefault="00C5473B">
            <w:pPr>
              <w:pStyle w:val="normal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00" w:type="dxa"/>
          </w:tcPr>
          <w:p w14:paraId="09027BDB" w14:textId="77777777" w:rsidR="003959B7" w:rsidRDefault="003959B7">
            <w:pPr>
              <w:pStyle w:val="normal0"/>
              <w:rPr>
                <w:rFonts w:ascii="Muli" w:eastAsia="Muli" w:hAnsi="Muli" w:cs="Muli"/>
                <w:sz w:val="20"/>
                <w:szCs w:val="20"/>
              </w:rPr>
            </w:pPr>
          </w:p>
        </w:tc>
        <w:tc>
          <w:tcPr>
            <w:tcW w:w="1038" w:type="dxa"/>
          </w:tcPr>
          <w:p w14:paraId="3F56263F" w14:textId="77777777" w:rsidR="003959B7" w:rsidRDefault="003959B7">
            <w:pPr>
              <w:pStyle w:val="normal0"/>
              <w:rPr>
                <w:rFonts w:ascii="Muli" w:eastAsia="Muli" w:hAnsi="Muli" w:cs="Muli"/>
                <w:sz w:val="20"/>
                <w:szCs w:val="20"/>
              </w:rPr>
            </w:pPr>
          </w:p>
        </w:tc>
      </w:tr>
    </w:tbl>
    <w:p w14:paraId="7208F10E" w14:textId="77777777" w:rsidR="003959B7" w:rsidRDefault="003959B7">
      <w:pPr>
        <w:pStyle w:val="normal0"/>
        <w:rPr>
          <w:rFonts w:ascii="Muli" w:eastAsia="Muli" w:hAnsi="Muli" w:cs="Muli"/>
          <w:b/>
          <w:sz w:val="20"/>
          <w:szCs w:val="20"/>
        </w:rPr>
      </w:pPr>
    </w:p>
    <w:tbl>
      <w:tblPr>
        <w:tblStyle w:val="a4"/>
        <w:tblW w:w="1389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0"/>
        <w:gridCol w:w="4380"/>
      </w:tblGrid>
      <w:tr w:rsidR="003959B7" w14:paraId="1EA99D27" w14:textId="77777777">
        <w:trPr>
          <w:trHeight w:val="240"/>
        </w:trPr>
        <w:tc>
          <w:tcPr>
            <w:tcW w:w="13890" w:type="dxa"/>
            <w:gridSpan w:val="2"/>
            <w:shd w:val="clear" w:color="auto" w:fill="FF126D"/>
          </w:tcPr>
          <w:p w14:paraId="5C14A277" w14:textId="77777777" w:rsidR="003959B7" w:rsidRDefault="00C5473B">
            <w:pPr>
              <w:pStyle w:val="normal0"/>
              <w:spacing w:before="1"/>
              <w:ind w:left="180" w:right="150"/>
              <w:rPr>
                <w:rFonts w:ascii="Muli" w:eastAsia="Muli" w:hAnsi="Muli" w:cs="Muli"/>
                <w:sz w:val="20"/>
                <w:szCs w:val="20"/>
              </w:rPr>
            </w:pPr>
            <w:r>
              <w:rPr>
                <w:rFonts w:ascii="Muli" w:eastAsia="Muli" w:hAnsi="Muli" w:cs="Muli"/>
                <w:color w:val="FFFFFF"/>
                <w:sz w:val="20"/>
                <w:szCs w:val="20"/>
              </w:rPr>
              <w:t>Strengths related to these Teacher Supports</w:t>
            </w:r>
          </w:p>
        </w:tc>
      </w:tr>
      <w:tr w:rsidR="003959B7" w14:paraId="284CEF5F" w14:textId="77777777">
        <w:trPr>
          <w:trHeight w:val="240"/>
        </w:trPr>
        <w:tc>
          <w:tcPr>
            <w:tcW w:w="13890" w:type="dxa"/>
            <w:gridSpan w:val="2"/>
            <w:shd w:val="clear" w:color="auto" w:fill="CCCCCC"/>
          </w:tcPr>
          <w:p w14:paraId="6BFEA68D"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t xml:space="preserve">SW1. Phenomena/Problems. </w:t>
            </w:r>
          </w:p>
          <w:p w14:paraId="234850B5" w14:textId="77777777" w:rsidR="003959B7" w:rsidRDefault="00C5473B">
            <w:pPr>
              <w:pStyle w:val="normal0"/>
              <w:ind w:left="180"/>
              <w:rPr>
                <w:rFonts w:ascii="Muli" w:eastAsia="Muli" w:hAnsi="Muli" w:cs="Muli"/>
                <w:color w:val="FFFFFF"/>
                <w:sz w:val="20"/>
                <w:szCs w:val="20"/>
              </w:rPr>
            </w:pPr>
            <w:r>
              <w:rPr>
                <w:rFonts w:ascii="Muli" w:eastAsia="Muli" w:hAnsi="Muli" w:cs="Muli"/>
                <w:sz w:val="20"/>
                <w:szCs w:val="20"/>
              </w:rPr>
              <w:t>The module is strong at providing support and strategies for how to help students figure out authentic and relevant phenomena using the three dimensions.</w:t>
            </w:r>
          </w:p>
        </w:tc>
      </w:tr>
      <w:tr w:rsidR="003959B7" w14:paraId="08BDC208" w14:textId="77777777" w:rsidTr="00AF6C9D">
        <w:trPr>
          <w:trHeight w:val="5829"/>
        </w:trPr>
        <w:tc>
          <w:tcPr>
            <w:tcW w:w="9510" w:type="dxa"/>
          </w:tcPr>
          <w:p w14:paraId="2A87CB28" w14:textId="77777777" w:rsidR="003959B7" w:rsidRDefault="00C5473B">
            <w:pPr>
              <w:pStyle w:val="normal0"/>
              <w:ind w:left="180"/>
              <w:rPr>
                <w:rFonts w:ascii="Muli" w:eastAsia="Muli" w:hAnsi="Muli" w:cs="Muli"/>
                <w:sz w:val="20"/>
                <w:szCs w:val="20"/>
              </w:rPr>
            </w:pPr>
            <w:r>
              <w:rPr>
                <w:rFonts w:ascii="Muli" w:eastAsia="Muli" w:hAnsi="Muli" w:cs="Muli"/>
                <w:b/>
                <w:color w:val="FF126D"/>
                <w:sz w:val="20"/>
                <w:szCs w:val="20"/>
              </w:rPr>
              <w:t>Evidence</w:t>
            </w:r>
          </w:p>
          <w:p w14:paraId="3689877D" w14:textId="77777777" w:rsidR="003959B7" w:rsidRDefault="00C5473B">
            <w:pPr>
              <w:pStyle w:val="normal0"/>
              <w:numPr>
                <w:ilvl w:val="0"/>
                <w:numId w:val="13"/>
              </w:numPr>
              <w:contextualSpacing/>
              <w:rPr>
                <w:rFonts w:ascii="Muli" w:eastAsia="Muli" w:hAnsi="Muli" w:cs="Muli"/>
                <w:sz w:val="20"/>
                <w:szCs w:val="20"/>
              </w:rPr>
            </w:pPr>
            <w:r>
              <w:rPr>
                <w:rFonts w:ascii="Muli" w:eastAsia="Muli" w:hAnsi="Muli" w:cs="Muli"/>
                <w:sz w:val="20"/>
                <w:szCs w:val="20"/>
              </w:rPr>
              <w:t xml:space="preserve">The instructional materials have been designed to support the teacher to guide students on a scaffolded learning journey to solve the Module Phenomenon: How do matter and energy move through an ecosystem? They tackle the problem one Driving Question at a time, applying the three dimensions with increasing sophistication, building the skills and knowledge they need through a series of investigations. </w:t>
            </w:r>
          </w:p>
          <w:p w14:paraId="551F849A" w14:textId="77777777" w:rsidR="003959B7" w:rsidRDefault="00C5473B">
            <w:pPr>
              <w:pStyle w:val="normal0"/>
              <w:numPr>
                <w:ilvl w:val="0"/>
                <w:numId w:val="13"/>
              </w:numPr>
              <w:contextualSpacing/>
              <w:rPr>
                <w:rFonts w:ascii="Muli" w:eastAsia="Muli" w:hAnsi="Muli" w:cs="Muli"/>
                <w:sz w:val="20"/>
                <w:szCs w:val="20"/>
              </w:rPr>
            </w:pPr>
            <w:r>
              <w:rPr>
                <w:rFonts w:ascii="Muli" w:eastAsia="Muli" w:hAnsi="Muli" w:cs="Muli"/>
                <w:sz w:val="20"/>
                <w:szCs w:val="20"/>
              </w:rPr>
              <w:t>The teacher is supported in the instructional material to connect their learning experiences back to the Module Phenomenon at strategic points with frequent class discussions where students share their ideas and evidence. For example, in</w:t>
            </w:r>
            <w:r>
              <w:rPr>
                <w:rFonts w:ascii="Muli" w:eastAsia="Muli" w:hAnsi="Muli" w:cs="Muli"/>
                <w:color w:val="FF0000"/>
                <w:sz w:val="20"/>
                <w:szCs w:val="20"/>
              </w:rPr>
              <w:t xml:space="preserve"> </w:t>
            </w:r>
            <w:r>
              <w:rPr>
                <w:rFonts w:ascii="Muli" w:eastAsia="Muli" w:hAnsi="Muli" w:cs="Muli"/>
                <w:b/>
                <w:color w:val="FF126D"/>
                <w:sz w:val="20"/>
                <w:szCs w:val="20"/>
              </w:rPr>
              <w:t>DQ4L4 TE p. 149</w:t>
            </w:r>
            <w:r>
              <w:rPr>
                <w:rFonts w:ascii="Muli" w:eastAsia="Muli" w:hAnsi="Muli" w:cs="Muli"/>
                <w:sz w:val="20"/>
                <w:szCs w:val="20"/>
              </w:rPr>
              <w:t>, the teacher leads a discussion of matter and energy flow, encouraging students to connect their learning to a reading investigation from DQ3.</w:t>
            </w:r>
          </w:p>
        </w:tc>
        <w:tc>
          <w:tcPr>
            <w:tcW w:w="4380" w:type="dxa"/>
          </w:tcPr>
          <w:p w14:paraId="352ED8A5" w14:textId="77777777" w:rsidR="003959B7" w:rsidRDefault="00C5473B">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11D9D6E" wp14:editId="282D6D30">
                  <wp:extent cx="2609702" cy="1148715"/>
                  <wp:effectExtent l="12700" t="12700" r="12700" b="1270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609702" cy="1148715"/>
                          </a:xfrm>
                          <a:prstGeom prst="rect">
                            <a:avLst/>
                          </a:prstGeom>
                          <a:ln w="12700">
                            <a:solidFill>
                              <a:srgbClr val="CCCCCC"/>
                            </a:solidFill>
                            <a:prstDash val="solid"/>
                          </a:ln>
                        </pic:spPr>
                      </pic:pic>
                    </a:graphicData>
                  </a:graphic>
                </wp:inline>
              </w:drawing>
            </w:r>
          </w:p>
          <w:p w14:paraId="6139FD78" w14:textId="77777777" w:rsidR="003959B7" w:rsidRDefault="00C5473B">
            <w:pPr>
              <w:pStyle w:val="normal0"/>
              <w:ind w:left="90"/>
              <w:rPr>
                <w:rFonts w:ascii="Muli" w:eastAsia="Muli" w:hAnsi="Muli" w:cs="Muli"/>
                <w:b/>
                <w:sz w:val="20"/>
                <w:szCs w:val="20"/>
              </w:rPr>
            </w:pPr>
            <w:r>
              <w:rPr>
                <w:rFonts w:ascii="Muli" w:eastAsia="Muli" w:hAnsi="Muli" w:cs="Muli"/>
                <w:b/>
                <w:color w:val="FF126D"/>
                <w:sz w:val="20"/>
                <w:szCs w:val="20"/>
              </w:rPr>
              <w:t>DQ4L4 TE p. 149</w:t>
            </w:r>
          </w:p>
        </w:tc>
      </w:tr>
      <w:tr w:rsidR="003959B7" w14:paraId="0674B594" w14:textId="77777777">
        <w:trPr>
          <w:trHeight w:val="720"/>
        </w:trPr>
        <w:tc>
          <w:tcPr>
            <w:tcW w:w="13890" w:type="dxa"/>
            <w:gridSpan w:val="2"/>
            <w:shd w:val="clear" w:color="auto" w:fill="CCCCCC"/>
          </w:tcPr>
          <w:p w14:paraId="72C973C9" w14:textId="77777777" w:rsidR="003959B7" w:rsidRDefault="00C5473B">
            <w:pPr>
              <w:pStyle w:val="normal0"/>
              <w:ind w:left="180"/>
              <w:rPr>
                <w:rFonts w:ascii="Muli" w:eastAsia="Muli" w:hAnsi="Muli" w:cs="Muli"/>
                <w:sz w:val="20"/>
                <w:szCs w:val="20"/>
              </w:rPr>
            </w:pPr>
            <w:r>
              <w:rPr>
                <w:rFonts w:ascii="Muli" w:eastAsia="Muli" w:hAnsi="Muli" w:cs="Muli"/>
                <w:b/>
                <w:sz w:val="20"/>
                <w:szCs w:val="20"/>
              </w:rPr>
              <w:lastRenderedPageBreak/>
              <w:t>SW2. Three-dimensional Conceptual Framework.</w:t>
            </w:r>
            <w:r>
              <w:rPr>
                <w:rFonts w:ascii="Muli" w:eastAsia="Muli" w:hAnsi="Muli" w:cs="Muli"/>
                <w:sz w:val="20"/>
                <w:szCs w:val="20"/>
              </w:rPr>
              <w:t xml:space="preserve"> </w:t>
            </w:r>
          </w:p>
          <w:p w14:paraId="356BDFC7" w14:textId="77777777" w:rsidR="003959B7" w:rsidRDefault="00C5473B">
            <w:pPr>
              <w:pStyle w:val="normal0"/>
              <w:ind w:left="180"/>
              <w:rPr>
                <w:rFonts w:ascii="Muli" w:eastAsia="Muli" w:hAnsi="Muli" w:cs="Muli"/>
                <w:sz w:val="20"/>
                <w:szCs w:val="20"/>
              </w:rPr>
            </w:pPr>
            <w:r>
              <w:rPr>
                <w:rFonts w:ascii="Muli" w:eastAsia="Muli" w:hAnsi="Muli" w:cs="Muli"/>
                <w:sz w:val="20"/>
                <w:szCs w:val="20"/>
              </w:rPr>
              <w:t>The module is strong at providing support for helping students develop a conceptual framework across the dimensions and creating a learning environment that values all students.</w:t>
            </w:r>
          </w:p>
        </w:tc>
      </w:tr>
      <w:tr w:rsidR="003959B7" w14:paraId="2E7A7A29" w14:textId="77777777" w:rsidTr="00AF6C9D">
        <w:trPr>
          <w:trHeight w:val="9158"/>
        </w:trPr>
        <w:tc>
          <w:tcPr>
            <w:tcW w:w="9510" w:type="dxa"/>
          </w:tcPr>
          <w:p w14:paraId="4666B1E7" w14:textId="77777777" w:rsidR="003959B7" w:rsidRDefault="003959B7">
            <w:pPr>
              <w:pStyle w:val="normal0"/>
              <w:ind w:left="180"/>
              <w:rPr>
                <w:rFonts w:ascii="Muli" w:eastAsia="Muli" w:hAnsi="Muli" w:cs="Muli"/>
                <w:b/>
                <w:color w:val="FF126D"/>
                <w:sz w:val="20"/>
                <w:szCs w:val="20"/>
              </w:rPr>
            </w:pPr>
          </w:p>
          <w:p w14:paraId="6CC3BB2A" w14:textId="77777777" w:rsidR="003959B7" w:rsidRDefault="00C5473B">
            <w:pPr>
              <w:pStyle w:val="normal0"/>
              <w:ind w:left="180"/>
              <w:rPr>
                <w:rFonts w:ascii="Muli" w:eastAsia="Muli" w:hAnsi="Muli" w:cs="Muli"/>
                <w:b/>
                <w:sz w:val="20"/>
                <w:szCs w:val="20"/>
              </w:rPr>
            </w:pPr>
            <w:r>
              <w:rPr>
                <w:rFonts w:ascii="Muli" w:eastAsia="Muli" w:hAnsi="Muli" w:cs="Muli"/>
                <w:b/>
                <w:color w:val="FF126D"/>
                <w:sz w:val="20"/>
                <w:szCs w:val="20"/>
              </w:rPr>
              <w:t>Evidence</w:t>
            </w:r>
          </w:p>
          <w:p w14:paraId="2BF028B4" w14:textId="77777777" w:rsidR="003959B7" w:rsidRDefault="00C5473B">
            <w:pPr>
              <w:pStyle w:val="normal0"/>
              <w:numPr>
                <w:ilvl w:val="0"/>
                <w:numId w:val="18"/>
              </w:numPr>
              <w:ind w:right="180"/>
              <w:contextualSpacing/>
              <w:rPr>
                <w:rFonts w:ascii="Muli" w:eastAsia="Muli" w:hAnsi="Muli" w:cs="Muli"/>
                <w:sz w:val="20"/>
                <w:szCs w:val="20"/>
              </w:rPr>
            </w:pPr>
            <w:r>
              <w:rPr>
                <w:rFonts w:ascii="Muli" w:eastAsia="Muli" w:hAnsi="Muli" w:cs="Muli"/>
                <w:sz w:val="20"/>
                <w:szCs w:val="20"/>
              </w:rPr>
              <w:t xml:space="preserve">The instructional materials are designed to elicit students' understanding of matter and energy at the start of the module and then develop their understanding over time, through hands-on, reading, digital, video and data investigations. </w:t>
            </w:r>
          </w:p>
          <w:p w14:paraId="37565157" w14:textId="77777777" w:rsidR="003959B7" w:rsidRDefault="00C5473B">
            <w:pPr>
              <w:pStyle w:val="normal0"/>
              <w:numPr>
                <w:ilvl w:val="0"/>
                <w:numId w:val="18"/>
              </w:numPr>
              <w:ind w:right="180"/>
              <w:contextualSpacing/>
              <w:rPr>
                <w:rFonts w:ascii="Muli" w:eastAsia="Muli" w:hAnsi="Muli" w:cs="Muli"/>
                <w:sz w:val="20"/>
                <w:szCs w:val="20"/>
              </w:rPr>
            </w:pPr>
            <w:r>
              <w:rPr>
                <w:rFonts w:ascii="Muli" w:eastAsia="Muli" w:hAnsi="Muli" w:cs="Muli"/>
                <w:sz w:val="20"/>
                <w:szCs w:val="20"/>
              </w:rPr>
              <w:t xml:space="preserve">Opportunities to articulate, question, and revise their conceptual framework are woven into the instructional resources with teachers supported with continuous assessment for learning strategies and with support for how to tailor instruction accordingly. </w:t>
            </w:r>
          </w:p>
          <w:p w14:paraId="057B492E" w14:textId="77777777" w:rsidR="003959B7" w:rsidRDefault="00C5473B">
            <w:pPr>
              <w:pStyle w:val="normal0"/>
              <w:numPr>
                <w:ilvl w:val="0"/>
                <w:numId w:val="18"/>
              </w:numPr>
              <w:ind w:right="180"/>
              <w:contextualSpacing/>
              <w:rPr>
                <w:rFonts w:ascii="Muli" w:eastAsia="Muli" w:hAnsi="Muli" w:cs="Muli"/>
                <w:sz w:val="20"/>
                <w:szCs w:val="20"/>
              </w:rPr>
            </w:pPr>
            <w:r>
              <w:rPr>
                <w:rFonts w:ascii="Muli" w:eastAsia="Muli" w:hAnsi="Muli" w:cs="Muli"/>
                <w:sz w:val="20"/>
                <w:szCs w:val="20"/>
              </w:rPr>
              <w:t>Support is given for how to create a positive learning environment where all contributions are valued along with activities that support teamwork and collaboration. Many of the activities involve students working in pairs and teams and they understand what effective teamwork looks and feel like having completed the 3-D Team Challenge at the start of Grade 5 (in Grade 5 Module 1, Matter Mysteries Hotline). Throughout Yellowstone: Uncovered, students are given many opportunities to support each other. For example, in DQ2, students engage in a collaborative language routine, sharing their scientific explanations with a partner and using that feedback to strengthen and clarify their explanations (</w:t>
            </w:r>
            <w:r>
              <w:rPr>
                <w:rFonts w:ascii="Muli" w:eastAsia="Muli" w:hAnsi="Muli" w:cs="Muli"/>
                <w:b/>
                <w:color w:val="FF126D"/>
                <w:sz w:val="20"/>
                <w:szCs w:val="20"/>
              </w:rPr>
              <w:t>DQ2L6 TE p. 78</w:t>
            </w:r>
            <w:r>
              <w:rPr>
                <w:rFonts w:ascii="Muli" w:eastAsia="Muli" w:hAnsi="Muli" w:cs="Muli"/>
                <w:sz w:val="20"/>
                <w:szCs w:val="20"/>
              </w:rPr>
              <w:t>). These activities are scaffolded with sidebars that provide additional support for students with special needs, English Learners, and Standard English Learner students.</w:t>
            </w:r>
          </w:p>
        </w:tc>
        <w:tc>
          <w:tcPr>
            <w:tcW w:w="4380" w:type="dxa"/>
          </w:tcPr>
          <w:p w14:paraId="65B323A1" w14:textId="77777777" w:rsidR="003959B7" w:rsidRDefault="00C5473B">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71C29750" wp14:editId="5133BFD6">
                  <wp:extent cx="2604301" cy="1880235"/>
                  <wp:effectExtent l="12700" t="12700" r="12700" b="1270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2604301" cy="1880235"/>
                          </a:xfrm>
                          <a:prstGeom prst="rect">
                            <a:avLst/>
                          </a:prstGeom>
                          <a:ln w="12700">
                            <a:solidFill>
                              <a:srgbClr val="D9D9D9"/>
                            </a:solidFill>
                            <a:prstDash val="solid"/>
                          </a:ln>
                        </pic:spPr>
                      </pic:pic>
                    </a:graphicData>
                  </a:graphic>
                </wp:inline>
              </w:drawing>
            </w:r>
          </w:p>
          <w:p w14:paraId="246AC0FD" w14:textId="77777777" w:rsidR="003959B7" w:rsidRDefault="00C5473B">
            <w:pPr>
              <w:pStyle w:val="normal0"/>
              <w:ind w:left="90"/>
              <w:rPr>
                <w:rFonts w:ascii="Muli" w:eastAsia="Muli" w:hAnsi="Muli" w:cs="Muli"/>
                <w:b/>
                <w:sz w:val="20"/>
                <w:szCs w:val="20"/>
              </w:rPr>
            </w:pPr>
            <w:r>
              <w:rPr>
                <w:rFonts w:ascii="Muli" w:eastAsia="Muli" w:hAnsi="Muli" w:cs="Muli"/>
                <w:b/>
                <w:color w:val="FF126D"/>
                <w:sz w:val="20"/>
                <w:szCs w:val="20"/>
              </w:rPr>
              <w:t>DQ2L6 TE p. 78</w:t>
            </w:r>
          </w:p>
        </w:tc>
      </w:tr>
      <w:tr w:rsidR="003959B7" w14:paraId="6697B465" w14:textId="77777777">
        <w:trPr>
          <w:trHeight w:val="540"/>
        </w:trPr>
        <w:tc>
          <w:tcPr>
            <w:tcW w:w="13890" w:type="dxa"/>
            <w:gridSpan w:val="2"/>
            <w:shd w:val="clear" w:color="auto" w:fill="CCCCCC"/>
          </w:tcPr>
          <w:p w14:paraId="2BAD3EFA"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lastRenderedPageBreak/>
              <w:t>SW3. Prior Knowledge.</w:t>
            </w:r>
          </w:p>
          <w:p w14:paraId="3055CC9F" w14:textId="77777777" w:rsidR="003959B7" w:rsidRDefault="00C5473B">
            <w:pPr>
              <w:pStyle w:val="normal0"/>
              <w:ind w:left="180"/>
              <w:rPr>
                <w:rFonts w:ascii="Muli" w:eastAsia="Muli" w:hAnsi="Muli" w:cs="Muli"/>
                <w:sz w:val="20"/>
                <w:szCs w:val="20"/>
              </w:rPr>
            </w:pPr>
            <w:r>
              <w:rPr>
                <w:rFonts w:ascii="Muli" w:eastAsia="Muli" w:hAnsi="Muli" w:cs="Muli"/>
                <w:sz w:val="20"/>
                <w:szCs w:val="20"/>
              </w:rPr>
              <w:t>The module provides strong support and strategies to leverage students’ prior knowledge and experiences to motivate learning.</w:t>
            </w:r>
          </w:p>
        </w:tc>
      </w:tr>
      <w:tr w:rsidR="003959B7" w14:paraId="31786D3D" w14:textId="77777777">
        <w:trPr>
          <w:trHeight w:val="5340"/>
        </w:trPr>
        <w:tc>
          <w:tcPr>
            <w:tcW w:w="9510" w:type="dxa"/>
          </w:tcPr>
          <w:p w14:paraId="64F06F37" w14:textId="77777777" w:rsidR="003959B7" w:rsidRDefault="003959B7">
            <w:pPr>
              <w:pStyle w:val="normal0"/>
              <w:ind w:left="180"/>
              <w:rPr>
                <w:rFonts w:ascii="Muli" w:eastAsia="Muli" w:hAnsi="Muli" w:cs="Muli"/>
                <w:b/>
                <w:sz w:val="20"/>
                <w:szCs w:val="20"/>
              </w:rPr>
            </w:pPr>
          </w:p>
          <w:p w14:paraId="76E779BA" w14:textId="77777777" w:rsidR="003959B7" w:rsidRDefault="00C5473B">
            <w:pPr>
              <w:pStyle w:val="normal0"/>
              <w:ind w:left="180"/>
              <w:rPr>
                <w:rFonts w:ascii="Muli" w:eastAsia="Muli" w:hAnsi="Muli" w:cs="Muli"/>
                <w:b/>
                <w:sz w:val="20"/>
                <w:szCs w:val="20"/>
              </w:rPr>
            </w:pPr>
            <w:r>
              <w:rPr>
                <w:rFonts w:ascii="Muli" w:eastAsia="Muli" w:hAnsi="Muli" w:cs="Muli"/>
                <w:b/>
                <w:color w:val="FF126D"/>
                <w:sz w:val="20"/>
                <w:szCs w:val="20"/>
              </w:rPr>
              <w:t>Evidence</w:t>
            </w:r>
          </w:p>
          <w:p w14:paraId="2935D23A" w14:textId="77777777" w:rsidR="003959B7" w:rsidRDefault="00C5473B">
            <w:pPr>
              <w:pStyle w:val="normal0"/>
              <w:numPr>
                <w:ilvl w:val="0"/>
                <w:numId w:val="26"/>
              </w:numPr>
              <w:ind w:right="165"/>
              <w:contextualSpacing/>
              <w:rPr>
                <w:rFonts w:ascii="Muli" w:eastAsia="Muli" w:hAnsi="Muli" w:cs="Muli"/>
                <w:sz w:val="20"/>
                <w:szCs w:val="20"/>
              </w:rPr>
            </w:pPr>
            <w:r>
              <w:rPr>
                <w:rFonts w:ascii="Muli" w:eastAsia="Muli" w:hAnsi="Muli" w:cs="Muli"/>
                <w:sz w:val="20"/>
                <w:szCs w:val="20"/>
              </w:rPr>
              <w:t xml:space="preserve">Teachers are supported with strategies to leverage prior knowledge of energy and matter through resources such as visuals, e.g., the Yellowstone National Park Slideshow visual in </w:t>
            </w:r>
            <w:r>
              <w:rPr>
                <w:rFonts w:ascii="Muli" w:eastAsia="Muli" w:hAnsi="Muli" w:cs="Muli"/>
                <w:b/>
                <w:color w:val="FF126D"/>
                <w:sz w:val="20"/>
                <w:szCs w:val="20"/>
              </w:rPr>
              <w:t>DQ1L1 Investigate TE p. 9</w:t>
            </w:r>
            <w:r>
              <w:rPr>
                <w:rFonts w:ascii="Muli" w:eastAsia="Muli" w:hAnsi="Muli" w:cs="Muli"/>
                <w:sz w:val="20"/>
                <w:szCs w:val="20"/>
              </w:rPr>
              <w:t xml:space="preserve"> and the Eating to Live Prior-Knowledge Read-Aloud in </w:t>
            </w:r>
            <w:r>
              <w:rPr>
                <w:rFonts w:ascii="Muli" w:eastAsia="Muli" w:hAnsi="Muli" w:cs="Muli"/>
                <w:b/>
                <w:color w:val="FF126D"/>
                <w:sz w:val="20"/>
                <w:szCs w:val="20"/>
              </w:rPr>
              <w:t>DQ1L1 TE Spark p. 8</w:t>
            </w:r>
            <w:r>
              <w:rPr>
                <w:rFonts w:ascii="Muli" w:eastAsia="Muli" w:hAnsi="Muli" w:cs="Muli"/>
                <w:sz w:val="20"/>
                <w:szCs w:val="20"/>
              </w:rPr>
              <w:t xml:space="preserve">. Additional support is provided at point of use for strategies to leverage prior knowledge and answer the Module Phenomenon. </w:t>
            </w:r>
          </w:p>
        </w:tc>
        <w:tc>
          <w:tcPr>
            <w:tcW w:w="4380" w:type="dxa"/>
          </w:tcPr>
          <w:p w14:paraId="10CEC614" w14:textId="77777777" w:rsidR="003959B7" w:rsidRDefault="00C5473B">
            <w:pPr>
              <w:pStyle w:val="normal0"/>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4953649C" wp14:editId="1F4795C8">
                  <wp:extent cx="2586089" cy="1693545"/>
                  <wp:effectExtent l="12700" t="12700" r="12700" b="127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586089" cy="1693545"/>
                          </a:xfrm>
                          <a:prstGeom prst="rect">
                            <a:avLst/>
                          </a:prstGeom>
                          <a:ln w="12700">
                            <a:solidFill>
                              <a:srgbClr val="D9D9D9"/>
                            </a:solidFill>
                            <a:prstDash val="solid"/>
                          </a:ln>
                        </pic:spPr>
                      </pic:pic>
                    </a:graphicData>
                  </a:graphic>
                </wp:inline>
              </w:drawing>
            </w:r>
          </w:p>
          <w:p w14:paraId="679199EC" w14:textId="77777777" w:rsidR="003959B7" w:rsidRDefault="00C5473B">
            <w:pPr>
              <w:pStyle w:val="normal0"/>
              <w:ind w:right="165" w:firstLine="90"/>
              <w:rPr>
                <w:rFonts w:ascii="Muli" w:eastAsia="Muli" w:hAnsi="Muli" w:cs="Muli"/>
                <w:b/>
                <w:color w:val="FF126D"/>
                <w:sz w:val="20"/>
                <w:szCs w:val="20"/>
              </w:rPr>
            </w:pPr>
            <w:r>
              <w:rPr>
                <w:rFonts w:ascii="Muli" w:eastAsia="Muli" w:hAnsi="Muli" w:cs="Muli"/>
                <w:b/>
                <w:color w:val="FF126D"/>
                <w:sz w:val="20"/>
                <w:szCs w:val="20"/>
              </w:rPr>
              <w:t>DQ1L1 Investigate TE p. 9</w:t>
            </w:r>
          </w:p>
          <w:p w14:paraId="57CAD676" w14:textId="77777777" w:rsidR="003959B7" w:rsidRDefault="003959B7">
            <w:pPr>
              <w:pStyle w:val="normal0"/>
              <w:ind w:right="165" w:firstLine="90"/>
              <w:rPr>
                <w:rFonts w:ascii="Muli" w:eastAsia="Muli" w:hAnsi="Muli" w:cs="Muli"/>
                <w:b/>
                <w:color w:val="FF126D"/>
                <w:sz w:val="20"/>
                <w:szCs w:val="20"/>
              </w:rPr>
            </w:pPr>
          </w:p>
          <w:p w14:paraId="1B926401" w14:textId="77777777" w:rsidR="003959B7" w:rsidRDefault="00C5473B">
            <w:pPr>
              <w:pStyle w:val="normal0"/>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1849DCB8" wp14:editId="64A5481F">
                  <wp:extent cx="2584545" cy="1539240"/>
                  <wp:effectExtent l="12700" t="12700" r="12700" b="1270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584545" cy="1539240"/>
                          </a:xfrm>
                          <a:prstGeom prst="rect">
                            <a:avLst/>
                          </a:prstGeom>
                          <a:ln w="12700">
                            <a:solidFill>
                              <a:srgbClr val="D9D9D9"/>
                            </a:solidFill>
                            <a:prstDash val="solid"/>
                          </a:ln>
                        </pic:spPr>
                      </pic:pic>
                    </a:graphicData>
                  </a:graphic>
                </wp:inline>
              </w:drawing>
            </w:r>
          </w:p>
          <w:p w14:paraId="5A134CDC" w14:textId="77777777" w:rsidR="003959B7" w:rsidRDefault="00C5473B">
            <w:pPr>
              <w:pStyle w:val="normal0"/>
              <w:ind w:right="165" w:firstLine="90"/>
              <w:rPr>
                <w:rFonts w:ascii="Muli" w:eastAsia="Muli" w:hAnsi="Muli" w:cs="Muli"/>
                <w:b/>
                <w:color w:val="FF126D"/>
                <w:sz w:val="20"/>
                <w:szCs w:val="20"/>
              </w:rPr>
            </w:pPr>
            <w:r>
              <w:rPr>
                <w:rFonts w:ascii="Muli" w:eastAsia="Muli" w:hAnsi="Muli" w:cs="Muli"/>
                <w:b/>
                <w:color w:val="FF126D"/>
                <w:sz w:val="20"/>
                <w:szCs w:val="20"/>
              </w:rPr>
              <w:t>DQ1L1 TE Spark p. 8</w:t>
            </w:r>
          </w:p>
        </w:tc>
      </w:tr>
      <w:tr w:rsidR="003959B7" w14:paraId="19BFC5F9" w14:textId="77777777" w:rsidTr="00AF6C9D">
        <w:trPr>
          <w:trHeight w:val="10195"/>
        </w:trPr>
        <w:tc>
          <w:tcPr>
            <w:tcW w:w="9510" w:type="dxa"/>
          </w:tcPr>
          <w:p w14:paraId="7403846A" w14:textId="77777777" w:rsidR="003959B7" w:rsidRDefault="00C5473B">
            <w:pPr>
              <w:pStyle w:val="normal0"/>
              <w:ind w:left="720" w:right="165"/>
              <w:rPr>
                <w:rFonts w:ascii="Muli" w:eastAsia="Muli" w:hAnsi="Muli" w:cs="Muli"/>
                <w:b/>
                <w:sz w:val="20"/>
                <w:szCs w:val="20"/>
              </w:rPr>
            </w:pPr>
            <w:r>
              <w:rPr>
                <w:rFonts w:ascii="Muli" w:eastAsia="Muli" w:hAnsi="Muli" w:cs="Muli"/>
                <w:sz w:val="20"/>
                <w:szCs w:val="20"/>
              </w:rPr>
              <w:lastRenderedPageBreak/>
              <w:t xml:space="preserve">For example, in </w:t>
            </w:r>
            <w:r>
              <w:rPr>
                <w:rFonts w:ascii="Muli" w:eastAsia="Muli" w:hAnsi="Muli" w:cs="Muli"/>
                <w:b/>
                <w:color w:val="FF126D"/>
                <w:sz w:val="20"/>
                <w:szCs w:val="20"/>
              </w:rPr>
              <w:t>DQ5L3 TE Spark p. 172</w:t>
            </w:r>
            <w:r>
              <w:rPr>
                <w:rFonts w:ascii="Muli" w:eastAsia="Muli" w:hAnsi="Muli" w:cs="Muli"/>
                <w:sz w:val="20"/>
                <w:szCs w:val="20"/>
              </w:rPr>
              <w:t>, the teacher prompts students to recall their background knowledge as they discuss decomposers.</w:t>
            </w:r>
          </w:p>
          <w:p w14:paraId="45FBCCBF" w14:textId="77777777" w:rsidR="003959B7" w:rsidRDefault="003959B7">
            <w:pPr>
              <w:pStyle w:val="normal0"/>
              <w:ind w:left="180"/>
              <w:rPr>
                <w:rFonts w:ascii="Muli" w:eastAsia="Muli" w:hAnsi="Muli" w:cs="Muli"/>
                <w:b/>
                <w:sz w:val="20"/>
                <w:szCs w:val="20"/>
              </w:rPr>
            </w:pPr>
          </w:p>
        </w:tc>
        <w:tc>
          <w:tcPr>
            <w:tcW w:w="4380" w:type="dxa"/>
          </w:tcPr>
          <w:p w14:paraId="67EA8723"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3CCBFD4" wp14:editId="50E7F770">
                  <wp:extent cx="2499995" cy="3647720"/>
                  <wp:effectExtent l="12700" t="12700" r="12700" b="127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2499995" cy="3647720"/>
                          </a:xfrm>
                          <a:prstGeom prst="rect">
                            <a:avLst/>
                          </a:prstGeom>
                          <a:ln w="12700">
                            <a:solidFill>
                              <a:srgbClr val="D9D9D9"/>
                            </a:solidFill>
                            <a:prstDash val="solid"/>
                          </a:ln>
                        </pic:spPr>
                      </pic:pic>
                    </a:graphicData>
                  </a:graphic>
                </wp:inline>
              </w:drawing>
            </w:r>
          </w:p>
          <w:p w14:paraId="2B4F3C0F" w14:textId="77777777" w:rsidR="003959B7" w:rsidRDefault="00C5473B">
            <w:pPr>
              <w:pStyle w:val="normal0"/>
              <w:ind w:left="90" w:right="165"/>
              <w:rPr>
                <w:rFonts w:ascii="Muli" w:eastAsia="Muli" w:hAnsi="Muli" w:cs="Muli"/>
                <w:b/>
                <w:sz w:val="20"/>
                <w:szCs w:val="20"/>
              </w:rPr>
            </w:pPr>
            <w:r>
              <w:rPr>
                <w:rFonts w:ascii="Muli" w:eastAsia="Muli" w:hAnsi="Muli" w:cs="Muli"/>
                <w:b/>
                <w:color w:val="FF126D"/>
                <w:sz w:val="20"/>
                <w:szCs w:val="20"/>
              </w:rPr>
              <w:t>DQ5L3 TE Spark p. 172</w:t>
            </w:r>
          </w:p>
        </w:tc>
      </w:tr>
      <w:tr w:rsidR="003959B7" w14:paraId="5371915D" w14:textId="77777777">
        <w:trPr>
          <w:trHeight w:val="240"/>
        </w:trPr>
        <w:tc>
          <w:tcPr>
            <w:tcW w:w="13890" w:type="dxa"/>
            <w:gridSpan w:val="2"/>
            <w:shd w:val="clear" w:color="auto" w:fill="CCCCCC"/>
          </w:tcPr>
          <w:p w14:paraId="6D1A8F9C" w14:textId="77777777" w:rsidR="003959B7" w:rsidRDefault="00C5473B">
            <w:pPr>
              <w:pStyle w:val="normal0"/>
              <w:ind w:firstLine="180"/>
              <w:rPr>
                <w:rFonts w:ascii="Muli" w:eastAsia="Muli" w:hAnsi="Muli" w:cs="Muli"/>
                <w:b/>
                <w:sz w:val="20"/>
                <w:szCs w:val="20"/>
              </w:rPr>
            </w:pPr>
            <w:r>
              <w:rPr>
                <w:rFonts w:ascii="Muli" w:eastAsia="Muli" w:hAnsi="Muli" w:cs="Muli"/>
                <w:b/>
                <w:sz w:val="20"/>
                <w:szCs w:val="20"/>
              </w:rPr>
              <w:lastRenderedPageBreak/>
              <w:t xml:space="preserve">SW4. Metacognitive Abilities. </w:t>
            </w:r>
          </w:p>
          <w:p w14:paraId="2F044FAE" w14:textId="77777777" w:rsidR="003959B7" w:rsidRDefault="00C5473B">
            <w:pPr>
              <w:pStyle w:val="normal0"/>
              <w:ind w:firstLine="180"/>
              <w:rPr>
                <w:rFonts w:ascii="Muli" w:eastAsia="Muli" w:hAnsi="Muli" w:cs="Muli"/>
                <w:sz w:val="20"/>
                <w:szCs w:val="20"/>
              </w:rPr>
            </w:pPr>
            <w:r>
              <w:rPr>
                <w:rFonts w:ascii="Muli" w:eastAsia="Muli" w:hAnsi="Muli" w:cs="Muli"/>
                <w:sz w:val="20"/>
                <w:szCs w:val="20"/>
              </w:rPr>
              <w:t>The module provides strong support and strategies for how to help students develop metacognitive abilities.</w:t>
            </w:r>
          </w:p>
        </w:tc>
      </w:tr>
      <w:tr w:rsidR="003959B7" w14:paraId="3EA7A5D8" w14:textId="77777777">
        <w:trPr>
          <w:trHeight w:val="6420"/>
        </w:trPr>
        <w:tc>
          <w:tcPr>
            <w:tcW w:w="9510" w:type="dxa"/>
          </w:tcPr>
          <w:p w14:paraId="46E27DBE" w14:textId="77777777" w:rsidR="003959B7" w:rsidRDefault="003959B7">
            <w:pPr>
              <w:pStyle w:val="normal0"/>
              <w:ind w:left="180"/>
              <w:rPr>
                <w:rFonts w:ascii="Muli" w:eastAsia="Muli" w:hAnsi="Muli" w:cs="Muli"/>
                <w:b/>
                <w:sz w:val="20"/>
                <w:szCs w:val="20"/>
              </w:rPr>
            </w:pPr>
          </w:p>
          <w:p w14:paraId="79FEBD82" w14:textId="77777777" w:rsidR="003959B7" w:rsidRDefault="00C5473B">
            <w:pPr>
              <w:pStyle w:val="normal0"/>
              <w:ind w:left="180"/>
              <w:rPr>
                <w:rFonts w:ascii="Muli" w:eastAsia="Muli" w:hAnsi="Muli" w:cs="Muli"/>
                <w:b/>
                <w:sz w:val="20"/>
                <w:szCs w:val="20"/>
              </w:rPr>
            </w:pPr>
            <w:r>
              <w:rPr>
                <w:rFonts w:ascii="Muli" w:eastAsia="Muli" w:hAnsi="Muli" w:cs="Muli"/>
                <w:b/>
                <w:color w:val="FF126D"/>
                <w:sz w:val="20"/>
                <w:szCs w:val="20"/>
              </w:rPr>
              <w:t>Evidence</w:t>
            </w:r>
          </w:p>
          <w:p w14:paraId="3CB91C1D" w14:textId="77777777" w:rsidR="003959B7" w:rsidRDefault="00C5473B">
            <w:pPr>
              <w:pStyle w:val="normal0"/>
              <w:numPr>
                <w:ilvl w:val="0"/>
                <w:numId w:val="20"/>
              </w:numPr>
              <w:ind w:right="255"/>
              <w:contextualSpacing/>
              <w:rPr>
                <w:rFonts w:ascii="Muli" w:eastAsia="Muli" w:hAnsi="Muli" w:cs="Muli"/>
                <w:sz w:val="20"/>
                <w:szCs w:val="20"/>
              </w:rPr>
            </w:pPr>
            <w:r>
              <w:rPr>
                <w:rFonts w:ascii="Muli" w:eastAsia="Muli" w:hAnsi="Muli" w:cs="Muli"/>
                <w:sz w:val="20"/>
                <w:szCs w:val="20"/>
              </w:rPr>
              <w:t xml:space="preserve">Support is given at point of use for how to develop students' metacognitive abilities. The Connect of the lesson often guides the teacher to draw students' attention to their growing use of the SEPs and CCCs, understanding of the DQ, or increasing ability to answer the Module Phenomenon (e.g., connecting to CCC-3 in </w:t>
            </w:r>
            <w:r>
              <w:rPr>
                <w:rFonts w:ascii="Muli" w:eastAsia="Muli" w:hAnsi="Muli" w:cs="Muli"/>
                <w:b/>
                <w:color w:val="FF126D"/>
                <w:sz w:val="20"/>
                <w:szCs w:val="20"/>
              </w:rPr>
              <w:t>DQ1L2 TE p. 19</w:t>
            </w:r>
            <w:r>
              <w:rPr>
                <w:rFonts w:ascii="Muli" w:eastAsia="Muli" w:hAnsi="Muli" w:cs="Muli"/>
                <w:sz w:val="20"/>
                <w:szCs w:val="20"/>
              </w:rPr>
              <w:t>, and SEP-2 and SEP-3 in</w:t>
            </w:r>
            <w:r>
              <w:rPr>
                <w:rFonts w:ascii="Muli" w:eastAsia="Muli" w:hAnsi="Muli" w:cs="Muli"/>
                <w:color w:val="FF0000"/>
                <w:sz w:val="20"/>
                <w:szCs w:val="20"/>
              </w:rPr>
              <w:t xml:space="preserve"> </w:t>
            </w:r>
            <w:r>
              <w:rPr>
                <w:rFonts w:ascii="Muli" w:eastAsia="Muli" w:hAnsi="Muli" w:cs="Muli"/>
                <w:b/>
                <w:color w:val="FF126D"/>
                <w:sz w:val="20"/>
                <w:szCs w:val="20"/>
              </w:rPr>
              <w:t>DQ6L1 TE p. 200</w:t>
            </w:r>
            <w:r>
              <w:rPr>
                <w:rFonts w:ascii="Muli" w:eastAsia="Muli" w:hAnsi="Muli" w:cs="Muli"/>
                <w:sz w:val="20"/>
                <w:szCs w:val="20"/>
              </w:rPr>
              <w:t xml:space="preserve">). </w:t>
            </w:r>
          </w:p>
          <w:p w14:paraId="24784FFD" w14:textId="77777777" w:rsidR="003959B7" w:rsidRDefault="003959B7">
            <w:pPr>
              <w:pStyle w:val="normal0"/>
              <w:ind w:left="180"/>
              <w:rPr>
                <w:rFonts w:ascii="Muli" w:eastAsia="Muli" w:hAnsi="Muli" w:cs="Muli"/>
                <w:b/>
                <w:sz w:val="20"/>
                <w:szCs w:val="20"/>
              </w:rPr>
            </w:pPr>
          </w:p>
        </w:tc>
        <w:tc>
          <w:tcPr>
            <w:tcW w:w="4380" w:type="dxa"/>
          </w:tcPr>
          <w:p w14:paraId="36A17361"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sz w:val="20"/>
                <w:szCs w:val="20"/>
              </w:rPr>
              <w:drawing>
                <wp:inline distT="114300" distB="114300" distL="114300" distR="114300" wp14:anchorId="6E0C7234" wp14:editId="6E863205">
                  <wp:extent cx="2559254" cy="1792605"/>
                  <wp:effectExtent l="12700" t="12700" r="12700" b="1270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2559254" cy="1792605"/>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DQ1L2 TE p. 19</w:t>
            </w:r>
          </w:p>
          <w:p w14:paraId="6AD41B3D" w14:textId="77777777" w:rsidR="003959B7" w:rsidRDefault="003959B7">
            <w:pPr>
              <w:pStyle w:val="normal0"/>
              <w:ind w:left="90" w:right="165"/>
              <w:rPr>
                <w:rFonts w:ascii="Muli" w:eastAsia="Muli" w:hAnsi="Muli" w:cs="Muli"/>
                <w:b/>
                <w:color w:val="FF126D"/>
                <w:sz w:val="20"/>
                <w:szCs w:val="20"/>
              </w:rPr>
            </w:pPr>
          </w:p>
          <w:p w14:paraId="6625EC8B" w14:textId="77777777" w:rsidR="003959B7" w:rsidRDefault="00C5473B">
            <w:pPr>
              <w:pStyle w:val="normal0"/>
              <w:ind w:left="90" w:right="165"/>
              <w:rPr>
                <w:rFonts w:ascii="Muli" w:eastAsia="Muli" w:hAnsi="Muli" w:cs="Muli"/>
                <w:b/>
                <w:sz w:val="20"/>
                <w:szCs w:val="20"/>
              </w:rPr>
            </w:pPr>
            <w:r>
              <w:rPr>
                <w:rFonts w:ascii="Muli" w:eastAsia="Muli" w:hAnsi="Muli" w:cs="Muli"/>
                <w:b/>
                <w:noProof/>
                <w:sz w:val="20"/>
                <w:szCs w:val="20"/>
              </w:rPr>
              <w:drawing>
                <wp:inline distT="114300" distB="114300" distL="114300" distR="114300" wp14:anchorId="2D39D0D8" wp14:editId="1E0DBF05">
                  <wp:extent cx="2633423" cy="1626870"/>
                  <wp:effectExtent l="12700" t="12700" r="12700" b="1270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r="4950"/>
                          <a:stretch>
                            <a:fillRect/>
                          </a:stretch>
                        </pic:blipFill>
                        <pic:spPr>
                          <a:xfrm>
                            <a:off x="0" y="0"/>
                            <a:ext cx="2633423" cy="1626870"/>
                          </a:xfrm>
                          <a:prstGeom prst="rect">
                            <a:avLst/>
                          </a:prstGeom>
                          <a:ln w="12700">
                            <a:solidFill>
                              <a:srgbClr val="D9D9D9"/>
                            </a:solidFill>
                            <a:prstDash val="solid"/>
                          </a:ln>
                        </pic:spPr>
                      </pic:pic>
                    </a:graphicData>
                  </a:graphic>
                </wp:inline>
              </w:drawing>
            </w:r>
          </w:p>
          <w:p w14:paraId="57F07439" w14:textId="77777777" w:rsidR="003959B7" w:rsidRDefault="00C5473B">
            <w:pPr>
              <w:pStyle w:val="normal0"/>
              <w:ind w:left="90" w:right="255"/>
              <w:rPr>
                <w:rFonts w:ascii="Muli" w:eastAsia="Muli" w:hAnsi="Muli" w:cs="Muli"/>
                <w:b/>
                <w:sz w:val="20"/>
                <w:szCs w:val="20"/>
              </w:rPr>
            </w:pPr>
            <w:r>
              <w:rPr>
                <w:rFonts w:ascii="Muli" w:eastAsia="Muli" w:hAnsi="Muli" w:cs="Muli"/>
                <w:b/>
                <w:color w:val="FF126D"/>
                <w:sz w:val="20"/>
                <w:szCs w:val="20"/>
              </w:rPr>
              <w:t>DQ6L1 TE p. 200</w:t>
            </w:r>
          </w:p>
        </w:tc>
      </w:tr>
      <w:tr w:rsidR="003959B7" w14:paraId="46340E46" w14:textId="77777777" w:rsidTr="00AF6C9D">
        <w:trPr>
          <w:trHeight w:val="2880"/>
        </w:trPr>
        <w:tc>
          <w:tcPr>
            <w:tcW w:w="9510" w:type="dxa"/>
          </w:tcPr>
          <w:p w14:paraId="409221F7" w14:textId="77777777" w:rsidR="003959B7" w:rsidRDefault="00C5473B">
            <w:pPr>
              <w:pStyle w:val="normal0"/>
              <w:numPr>
                <w:ilvl w:val="0"/>
                <w:numId w:val="20"/>
              </w:numPr>
              <w:ind w:right="255"/>
              <w:contextualSpacing/>
              <w:rPr>
                <w:rFonts w:ascii="Muli" w:eastAsia="Muli" w:hAnsi="Muli" w:cs="Muli"/>
                <w:sz w:val="20"/>
                <w:szCs w:val="20"/>
              </w:rPr>
            </w:pPr>
            <w:r>
              <w:rPr>
                <w:rFonts w:ascii="Muli" w:eastAsia="Muli" w:hAnsi="Muli" w:cs="Muli"/>
                <w:sz w:val="20"/>
                <w:szCs w:val="20"/>
              </w:rPr>
              <w:t>Discussions following diagnostic pre-assessments (Pre-Explorations) in DQ1</w:t>
            </w:r>
            <w:r>
              <w:rPr>
                <w:rFonts w:ascii="Muli" w:eastAsia="Muli" w:hAnsi="Muli" w:cs="Muli"/>
                <w:color w:val="545454"/>
                <w:sz w:val="20"/>
                <w:szCs w:val="20"/>
                <w:highlight w:val="white"/>
              </w:rPr>
              <w:t>–</w:t>
            </w:r>
            <w:r>
              <w:rPr>
                <w:rFonts w:ascii="Muli" w:eastAsia="Muli" w:hAnsi="Muli" w:cs="Muli"/>
                <w:sz w:val="20"/>
                <w:szCs w:val="20"/>
              </w:rPr>
              <w:t xml:space="preserve">4 support teachers to track students' understanding of the three dimensions that make up the module's Performance Expectations, e.g. in </w:t>
            </w:r>
            <w:r>
              <w:rPr>
                <w:rFonts w:ascii="Muli" w:eastAsia="Muli" w:hAnsi="Muli" w:cs="Muli"/>
                <w:b/>
                <w:color w:val="FF126D"/>
                <w:sz w:val="20"/>
                <w:szCs w:val="20"/>
              </w:rPr>
              <w:t>DQ2L4 TE Report p. 62</w:t>
            </w:r>
            <w:r>
              <w:rPr>
                <w:rFonts w:ascii="Muli" w:eastAsia="Muli" w:hAnsi="Muli" w:cs="Muli"/>
                <w:sz w:val="20"/>
                <w:szCs w:val="20"/>
              </w:rPr>
              <w:t>.</w:t>
            </w:r>
          </w:p>
        </w:tc>
        <w:tc>
          <w:tcPr>
            <w:tcW w:w="4380" w:type="dxa"/>
          </w:tcPr>
          <w:p w14:paraId="412DDA0C" w14:textId="77777777" w:rsidR="003959B7" w:rsidRDefault="00C5473B">
            <w:pPr>
              <w:pStyle w:val="normal0"/>
              <w:ind w:left="90" w:right="25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065E069" wp14:editId="2F5EDB76">
                  <wp:extent cx="2618759" cy="1156335"/>
                  <wp:effectExtent l="12700" t="12700" r="12700" b="1270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618759" cy="1156335"/>
                          </a:xfrm>
                          <a:prstGeom prst="rect">
                            <a:avLst/>
                          </a:prstGeom>
                          <a:ln w="12700">
                            <a:solidFill>
                              <a:srgbClr val="D9D9D9"/>
                            </a:solidFill>
                            <a:prstDash val="solid"/>
                          </a:ln>
                        </pic:spPr>
                      </pic:pic>
                    </a:graphicData>
                  </a:graphic>
                </wp:inline>
              </w:drawing>
            </w:r>
          </w:p>
          <w:p w14:paraId="1712C59E" w14:textId="77777777" w:rsidR="003959B7" w:rsidRDefault="00C5473B">
            <w:pPr>
              <w:pStyle w:val="normal0"/>
              <w:ind w:left="90" w:right="255"/>
              <w:rPr>
                <w:rFonts w:ascii="Muli" w:eastAsia="Muli" w:hAnsi="Muli" w:cs="Muli"/>
                <w:b/>
                <w:sz w:val="20"/>
                <w:szCs w:val="20"/>
              </w:rPr>
            </w:pPr>
            <w:r>
              <w:rPr>
                <w:rFonts w:ascii="Muli" w:eastAsia="Muli" w:hAnsi="Muli" w:cs="Muli"/>
                <w:b/>
                <w:color w:val="FF126D"/>
                <w:sz w:val="20"/>
                <w:szCs w:val="20"/>
              </w:rPr>
              <w:t>DQ2L4 TE Report p. 62</w:t>
            </w:r>
          </w:p>
        </w:tc>
      </w:tr>
      <w:tr w:rsidR="003959B7" w14:paraId="07C2B1D4" w14:textId="77777777">
        <w:trPr>
          <w:trHeight w:val="240"/>
        </w:trPr>
        <w:tc>
          <w:tcPr>
            <w:tcW w:w="13890" w:type="dxa"/>
            <w:gridSpan w:val="2"/>
            <w:shd w:val="clear" w:color="auto" w:fill="CCCCCC"/>
          </w:tcPr>
          <w:p w14:paraId="56145F08" w14:textId="77777777" w:rsidR="003959B7" w:rsidRDefault="00C5473B">
            <w:pPr>
              <w:pStyle w:val="normal0"/>
              <w:ind w:left="270"/>
              <w:rPr>
                <w:rFonts w:ascii="Muli" w:eastAsia="Muli" w:hAnsi="Muli" w:cs="Muli"/>
                <w:b/>
                <w:sz w:val="20"/>
                <w:szCs w:val="20"/>
              </w:rPr>
            </w:pPr>
            <w:r>
              <w:rPr>
                <w:rFonts w:ascii="Muli" w:eastAsia="Muli" w:hAnsi="Muli" w:cs="Muli"/>
                <w:b/>
                <w:sz w:val="20"/>
                <w:szCs w:val="20"/>
              </w:rPr>
              <w:t>SW5.</w:t>
            </w:r>
            <w:r>
              <w:rPr>
                <w:rFonts w:ascii="Muli" w:eastAsia="Muli" w:hAnsi="Muli" w:cs="Muli"/>
                <w:sz w:val="20"/>
                <w:szCs w:val="20"/>
              </w:rPr>
              <w:t xml:space="preserve"> </w:t>
            </w:r>
            <w:r>
              <w:rPr>
                <w:rFonts w:ascii="Muli" w:eastAsia="Muli" w:hAnsi="Muli" w:cs="Muli"/>
                <w:b/>
                <w:sz w:val="20"/>
                <w:szCs w:val="20"/>
              </w:rPr>
              <w:t>Equitable Learning Opportunities.</w:t>
            </w:r>
          </w:p>
          <w:p w14:paraId="668E9A4F" w14:textId="77777777" w:rsidR="003959B7" w:rsidRDefault="00C5473B">
            <w:pPr>
              <w:pStyle w:val="normal0"/>
              <w:ind w:left="270"/>
              <w:rPr>
                <w:rFonts w:ascii="Muli" w:eastAsia="Muli" w:hAnsi="Muli" w:cs="Muli"/>
                <w:b/>
                <w:sz w:val="20"/>
                <w:szCs w:val="20"/>
              </w:rPr>
            </w:pPr>
            <w:r>
              <w:rPr>
                <w:rFonts w:ascii="Muli" w:eastAsia="Muli" w:hAnsi="Muli" w:cs="Muli"/>
                <w:sz w:val="20"/>
                <w:szCs w:val="20"/>
              </w:rPr>
              <w:lastRenderedPageBreak/>
              <w:t xml:space="preserve">This module provides strong resources and strategies to ensure that all students have access to the targeted learning goals and experiences.  </w:t>
            </w:r>
          </w:p>
        </w:tc>
      </w:tr>
      <w:tr w:rsidR="003959B7" w14:paraId="2EC4DDDD" w14:textId="77777777">
        <w:trPr>
          <w:trHeight w:val="240"/>
        </w:trPr>
        <w:tc>
          <w:tcPr>
            <w:tcW w:w="9510" w:type="dxa"/>
          </w:tcPr>
          <w:p w14:paraId="532CBF6C" w14:textId="77777777" w:rsidR="003959B7" w:rsidRDefault="003959B7">
            <w:pPr>
              <w:pStyle w:val="normal0"/>
              <w:ind w:left="180"/>
              <w:rPr>
                <w:rFonts w:ascii="Muli" w:eastAsia="Muli" w:hAnsi="Muli" w:cs="Muli"/>
                <w:b/>
                <w:sz w:val="20"/>
                <w:szCs w:val="20"/>
              </w:rPr>
            </w:pPr>
          </w:p>
          <w:p w14:paraId="76B86EEB" w14:textId="77777777" w:rsidR="003959B7" w:rsidRDefault="00C5473B">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1C8421AA" w14:textId="77777777" w:rsidR="003959B7" w:rsidRDefault="00C5473B">
            <w:pPr>
              <w:pStyle w:val="normal0"/>
              <w:numPr>
                <w:ilvl w:val="0"/>
                <w:numId w:val="1"/>
              </w:numPr>
              <w:ind w:right="165"/>
              <w:contextualSpacing/>
              <w:rPr>
                <w:rFonts w:ascii="Muli" w:eastAsia="Muli" w:hAnsi="Muli" w:cs="Muli"/>
                <w:sz w:val="20"/>
                <w:szCs w:val="20"/>
              </w:rPr>
            </w:pPr>
            <w:r>
              <w:rPr>
                <w:rFonts w:ascii="Muli" w:eastAsia="Muli" w:hAnsi="Muli" w:cs="Muli"/>
                <w:sz w:val="20"/>
                <w:szCs w:val="20"/>
              </w:rPr>
              <w:t xml:space="preserve">Frequent support is given at point of use in all lessons on strategies to ensure that all students have access to the targeted learning goals. Numerous scaffolds are provided for Special Needs, English Learner, and Standard English Learner students, for example in </w:t>
            </w:r>
            <w:r>
              <w:rPr>
                <w:rFonts w:ascii="Muli" w:eastAsia="Muli" w:hAnsi="Muli" w:cs="Muli"/>
                <w:b/>
                <w:color w:val="FF126D"/>
                <w:sz w:val="20"/>
                <w:szCs w:val="20"/>
              </w:rPr>
              <w:t>DQ2L5 TE p. 69</w:t>
            </w:r>
            <w:r>
              <w:rPr>
                <w:rFonts w:ascii="Muli" w:eastAsia="Muli" w:hAnsi="Muli" w:cs="Muli"/>
                <w:sz w:val="20"/>
                <w:szCs w:val="20"/>
              </w:rPr>
              <w:t xml:space="preserve"> and </w:t>
            </w:r>
            <w:r>
              <w:rPr>
                <w:rFonts w:ascii="Muli" w:eastAsia="Muli" w:hAnsi="Muli" w:cs="Muli"/>
                <w:b/>
                <w:color w:val="FF126D"/>
                <w:sz w:val="20"/>
                <w:szCs w:val="20"/>
              </w:rPr>
              <w:t>DQ4L1 p. 128</w:t>
            </w:r>
            <w:r>
              <w:rPr>
                <w:rFonts w:ascii="Muli" w:eastAsia="Muli" w:hAnsi="Muli" w:cs="Muli"/>
                <w:sz w:val="20"/>
                <w:szCs w:val="20"/>
              </w:rPr>
              <w:t xml:space="preserve">. </w:t>
            </w:r>
          </w:p>
          <w:p w14:paraId="140C26A4" w14:textId="77777777" w:rsidR="003959B7" w:rsidRDefault="00C5473B">
            <w:pPr>
              <w:pStyle w:val="normal0"/>
              <w:numPr>
                <w:ilvl w:val="0"/>
                <w:numId w:val="1"/>
              </w:numPr>
              <w:ind w:right="165"/>
              <w:contextualSpacing/>
              <w:rPr>
                <w:rFonts w:ascii="Muli" w:eastAsia="Muli" w:hAnsi="Muli" w:cs="Muli"/>
                <w:sz w:val="20"/>
                <w:szCs w:val="20"/>
              </w:rPr>
            </w:pPr>
            <w:r>
              <w:rPr>
                <w:rFonts w:ascii="Muli" w:eastAsia="Muli" w:hAnsi="Muli" w:cs="Muli"/>
                <w:sz w:val="20"/>
                <w:szCs w:val="20"/>
              </w:rPr>
              <w:t xml:space="preserve">The reader that complements the module is provided at four levels—Above, On, Below, and EL, with on-level lesson instruction embedded in the TEs and above-, below-, and EL lesson instruction available online. </w:t>
            </w:r>
          </w:p>
          <w:p w14:paraId="313317AD" w14:textId="77777777" w:rsidR="003959B7" w:rsidRDefault="00C5473B">
            <w:pPr>
              <w:pStyle w:val="normal0"/>
              <w:numPr>
                <w:ilvl w:val="0"/>
                <w:numId w:val="1"/>
              </w:numPr>
              <w:ind w:right="165"/>
              <w:contextualSpacing/>
              <w:rPr>
                <w:rFonts w:ascii="Muli" w:eastAsia="Muli" w:hAnsi="Muli" w:cs="Muli"/>
                <w:sz w:val="20"/>
                <w:szCs w:val="20"/>
              </w:rPr>
            </w:pPr>
            <w:r>
              <w:rPr>
                <w:rFonts w:ascii="Muli" w:eastAsia="Muli" w:hAnsi="Muli" w:cs="Muli"/>
                <w:sz w:val="20"/>
                <w:szCs w:val="20"/>
              </w:rPr>
              <w:t xml:space="preserve">Digital versions of the TB and readers have text-to-speech functionality. </w:t>
            </w:r>
          </w:p>
          <w:p w14:paraId="1020273C" w14:textId="77777777" w:rsidR="003959B7" w:rsidRDefault="003959B7">
            <w:pPr>
              <w:pStyle w:val="normal0"/>
              <w:ind w:left="180"/>
              <w:rPr>
                <w:rFonts w:ascii="Muli" w:eastAsia="Muli" w:hAnsi="Muli" w:cs="Muli"/>
                <w:b/>
                <w:sz w:val="20"/>
                <w:szCs w:val="20"/>
              </w:rPr>
            </w:pPr>
          </w:p>
        </w:tc>
        <w:tc>
          <w:tcPr>
            <w:tcW w:w="4380" w:type="dxa"/>
          </w:tcPr>
          <w:p w14:paraId="3C8DE50A"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5160400" wp14:editId="18A44E71">
                  <wp:extent cx="2314575" cy="114681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b="11470"/>
                          <a:stretch>
                            <a:fillRect/>
                          </a:stretch>
                        </pic:blipFill>
                        <pic:spPr>
                          <a:xfrm>
                            <a:off x="0" y="0"/>
                            <a:ext cx="2314575" cy="1146810"/>
                          </a:xfrm>
                          <a:prstGeom prst="rect">
                            <a:avLst/>
                          </a:prstGeom>
                          <a:ln/>
                        </pic:spPr>
                      </pic:pic>
                    </a:graphicData>
                  </a:graphic>
                </wp:inline>
              </w:drawing>
            </w:r>
          </w:p>
          <w:p w14:paraId="2A988BF9"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color w:val="FF126D"/>
                <w:sz w:val="20"/>
                <w:szCs w:val="20"/>
              </w:rPr>
              <w:t>DQ2L5 TE p. 69</w:t>
            </w:r>
          </w:p>
          <w:p w14:paraId="393E930B" w14:textId="77777777" w:rsidR="003959B7" w:rsidRDefault="003959B7">
            <w:pPr>
              <w:pStyle w:val="normal0"/>
              <w:ind w:left="90" w:right="165"/>
              <w:rPr>
                <w:rFonts w:ascii="Muli" w:eastAsia="Muli" w:hAnsi="Muli" w:cs="Muli"/>
                <w:b/>
                <w:color w:val="FF126D"/>
                <w:sz w:val="20"/>
                <w:szCs w:val="20"/>
              </w:rPr>
            </w:pPr>
          </w:p>
          <w:p w14:paraId="309BE0B1"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26201BD" wp14:editId="0875EC63">
                  <wp:extent cx="2063063" cy="4447437"/>
                  <wp:effectExtent l="0" t="0" r="0" b="0"/>
                  <wp:docPr id="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t="1419" b="1381"/>
                          <a:stretch>
                            <a:fillRect/>
                          </a:stretch>
                        </pic:blipFill>
                        <pic:spPr>
                          <a:xfrm>
                            <a:off x="0" y="0"/>
                            <a:ext cx="2063063" cy="4447437"/>
                          </a:xfrm>
                          <a:prstGeom prst="rect">
                            <a:avLst/>
                          </a:prstGeom>
                          <a:ln/>
                        </pic:spPr>
                      </pic:pic>
                    </a:graphicData>
                  </a:graphic>
                </wp:inline>
              </w:drawing>
            </w:r>
          </w:p>
          <w:p w14:paraId="6707BC04"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color w:val="FF126D"/>
                <w:sz w:val="20"/>
                <w:szCs w:val="20"/>
              </w:rPr>
              <w:t>DQ4L1 p. 128</w:t>
            </w:r>
          </w:p>
        </w:tc>
      </w:tr>
      <w:tr w:rsidR="003959B7" w14:paraId="30979C30" w14:textId="77777777">
        <w:trPr>
          <w:trHeight w:val="6400"/>
        </w:trPr>
        <w:tc>
          <w:tcPr>
            <w:tcW w:w="9510" w:type="dxa"/>
          </w:tcPr>
          <w:p w14:paraId="51803D27" w14:textId="77777777" w:rsidR="003959B7" w:rsidRDefault="00C5473B">
            <w:pPr>
              <w:pStyle w:val="normal0"/>
              <w:numPr>
                <w:ilvl w:val="0"/>
                <w:numId w:val="1"/>
              </w:numPr>
              <w:ind w:right="165"/>
              <w:contextualSpacing/>
              <w:rPr>
                <w:rFonts w:ascii="Muli" w:eastAsia="Muli" w:hAnsi="Muli" w:cs="Muli"/>
                <w:sz w:val="20"/>
                <w:szCs w:val="20"/>
              </w:rPr>
            </w:pPr>
            <w:r>
              <w:rPr>
                <w:rFonts w:ascii="Muli" w:eastAsia="Muli" w:hAnsi="Muli" w:cs="Muli"/>
                <w:sz w:val="20"/>
                <w:szCs w:val="20"/>
              </w:rPr>
              <w:lastRenderedPageBreak/>
              <w:t xml:space="preserve">Short, high quality videos that engage and support learners with diverse learning needs are frequently provided to spark interest, summarize key concepts, and make ideas relevant to Grade 5 students. For example, the </w:t>
            </w:r>
            <w:r>
              <w:rPr>
                <w:rFonts w:ascii="Muli" w:eastAsia="Muli" w:hAnsi="Muli" w:cs="Muli"/>
                <w:b/>
                <w:color w:val="FF126D"/>
                <w:sz w:val="20"/>
                <w:szCs w:val="20"/>
              </w:rPr>
              <w:t>A Year in Yellowstone</w:t>
            </w:r>
            <w:r>
              <w:rPr>
                <w:rFonts w:ascii="Muli" w:eastAsia="Muli" w:hAnsi="Muli" w:cs="Muli"/>
                <w:sz w:val="20"/>
                <w:szCs w:val="20"/>
              </w:rPr>
              <w:t xml:space="preserve"> video (in DQ2L1) lets students explore the plants and animals in the national park from the classroom</w:t>
            </w:r>
            <w:r>
              <w:rPr>
                <w:rFonts w:ascii="Muli" w:eastAsia="Muli" w:hAnsi="Muli" w:cs="Muli"/>
                <w:b/>
                <w:sz w:val="20"/>
                <w:szCs w:val="20"/>
              </w:rPr>
              <w:t xml:space="preserve">, </w:t>
            </w:r>
            <w:r>
              <w:rPr>
                <w:rFonts w:ascii="Muli" w:eastAsia="Muli" w:hAnsi="Muli" w:cs="Muli"/>
                <w:sz w:val="20"/>
                <w:szCs w:val="20"/>
              </w:rPr>
              <w:t xml:space="preserve">while the </w:t>
            </w:r>
            <w:r>
              <w:rPr>
                <w:rFonts w:ascii="Muli" w:eastAsia="Muli" w:hAnsi="Muli" w:cs="Muli"/>
                <w:b/>
                <w:color w:val="FF126D"/>
                <w:sz w:val="20"/>
                <w:szCs w:val="20"/>
              </w:rPr>
              <w:t>Decomposers: Breaking It Down</w:t>
            </w:r>
            <w:r>
              <w:rPr>
                <w:rFonts w:ascii="Muli" w:eastAsia="Muli" w:hAnsi="Muli" w:cs="Muli"/>
                <w:sz w:val="20"/>
                <w:szCs w:val="20"/>
              </w:rPr>
              <w:t xml:space="preserve"> video (DQ5L2) helps students connect their learning about matter to the concept of decomposition.</w:t>
            </w:r>
          </w:p>
        </w:tc>
        <w:tc>
          <w:tcPr>
            <w:tcW w:w="4380" w:type="dxa"/>
          </w:tcPr>
          <w:p w14:paraId="3FB6E127" w14:textId="77777777" w:rsidR="003959B7" w:rsidRDefault="00C5473B">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04CA3A80" wp14:editId="5D32F70C">
                  <wp:extent cx="2136140" cy="1729668"/>
                  <wp:effectExtent l="0" t="0" r="0" b="0"/>
                  <wp:docPr id="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2136140" cy="1729668"/>
                          </a:xfrm>
                          <a:prstGeom prst="rect">
                            <a:avLst/>
                          </a:prstGeom>
                          <a:ln/>
                        </pic:spPr>
                      </pic:pic>
                    </a:graphicData>
                  </a:graphic>
                </wp:inline>
              </w:drawing>
            </w:r>
          </w:p>
          <w:p w14:paraId="65E862CB"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color w:val="FF126D"/>
                <w:sz w:val="20"/>
                <w:szCs w:val="20"/>
              </w:rPr>
              <w:t>A Year in Yellowstone</w:t>
            </w:r>
          </w:p>
          <w:p w14:paraId="1F22E67B" w14:textId="77777777" w:rsidR="003959B7" w:rsidRDefault="003959B7">
            <w:pPr>
              <w:pStyle w:val="normal0"/>
              <w:ind w:left="90" w:right="165"/>
              <w:rPr>
                <w:rFonts w:ascii="Muli" w:eastAsia="Muli" w:hAnsi="Muli" w:cs="Muli"/>
                <w:b/>
                <w:color w:val="FF126D"/>
                <w:sz w:val="20"/>
                <w:szCs w:val="20"/>
              </w:rPr>
            </w:pPr>
          </w:p>
          <w:p w14:paraId="18F0C345"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73C6A32" wp14:editId="33C2A3AE">
                  <wp:extent cx="2155190" cy="1614211"/>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155190" cy="1614211"/>
                          </a:xfrm>
                          <a:prstGeom prst="rect">
                            <a:avLst/>
                          </a:prstGeom>
                          <a:ln/>
                        </pic:spPr>
                      </pic:pic>
                    </a:graphicData>
                  </a:graphic>
                </wp:inline>
              </w:drawing>
            </w:r>
          </w:p>
          <w:p w14:paraId="677FE596"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color w:val="FF126D"/>
                <w:sz w:val="20"/>
                <w:szCs w:val="20"/>
              </w:rPr>
              <w:t>Decomposers: Breaking It Down</w:t>
            </w:r>
          </w:p>
        </w:tc>
      </w:tr>
    </w:tbl>
    <w:p w14:paraId="434F981B" w14:textId="77777777" w:rsidR="003959B7" w:rsidRDefault="003959B7">
      <w:pPr>
        <w:pStyle w:val="normal0"/>
        <w:rPr>
          <w:rFonts w:ascii="Muli" w:eastAsia="Muli" w:hAnsi="Muli" w:cs="Muli"/>
          <w:sz w:val="20"/>
          <w:szCs w:val="20"/>
        </w:rPr>
      </w:pPr>
    </w:p>
    <w:p w14:paraId="5F8B2643" w14:textId="77777777" w:rsidR="003959B7" w:rsidRDefault="003959B7">
      <w:pPr>
        <w:pStyle w:val="normal0"/>
        <w:ind w:left="180"/>
        <w:rPr>
          <w:rFonts w:ascii="Muli" w:eastAsia="Muli" w:hAnsi="Muli" w:cs="Muli"/>
          <w:sz w:val="20"/>
          <w:szCs w:val="20"/>
        </w:rPr>
      </w:pPr>
    </w:p>
    <w:p w14:paraId="7847CC1A" w14:textId="77777777" w:rsidR="003959B7" w:rsidRDefault="00C5473B">
      <w:pPr>
        <w:pStyle w:val="normal0"/>
        <w:pBdr>
          <w:top w:val="nil"/>
          <w:left w:val="nil"/>
          <w:bottom w:val="nil"/>
          <w:right w:val="nil"/>
          <w:between w:val="nil"/>
        </w:pBdr>
        <w:spacing w:line="276" w:lineRule="auto"/>
        <w:ind w:left="180"/>
        <w:rPr>
          <w:rFonts w:ascii="Muli" w:eastAsia="Muli" w:hAnsi="Muli" w:cs="Muli"/>
          <w:sz w:val="20"/>
          <w:szCs w:val="20"/>
        </w:rPr>
      </w:pPr>
      <w:r>
        <w:br w:type="page"/>
      </w:r>
    </w:p>
    <w:p w14:paraId="756DF3A2" w14:textId="77777777" w:rsidR="003959B7" w:rsidRDefault="003959B7">
      <w:pPr>
        <w:pStyle w:val="normal0"/>
        <w:spacing w:before="3"/>
        <w:rPr>
          <w:rFonts w:ascii="Muli" w:eastAsia="Muli" w:hAnsi="Muli" w:cs="Muli"/>
          <w:sz w:val="20"/>
          <w:szCs w:val="20"/>
        </w:rPr>
      </w:pPr>
    </w:p>
    <w:tbl>
      <w:tblPr>
        <w:tblStyle w:val="a5"/>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45"/>
      </w:tblGrid>
      <w:tr w:rsidR="003959B7" w14:paraId="2BD60CBB" w14:textId="77777777" w:rsidTr="00AF6C9D">
        <w:trPr>
          <w:trHeight w:val="760"/>
        </w:trPr>
        <w:tc>
          <w:tcPr>
            <w:tcW w:w="13845" w:type="dxa"/>
            <w:shd w:val="clear" w:color="auto" w:fill="2F5496"/>
          </w:tcPr>
          <w:p w14:paraId="1628872A" w14:textId="77777777" w:rsidR="003959B7" w:rsidRDefault="00C5473B">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4DB33DCC" w14:textId="77777777" w:rsidR="003959B7" w:rsidRDefault="003959B7">
      <w:pPr>
        <w:pStyle w:val="normal0"/>
        <w:spacing w:before="4"/>
        <w:rPr>
          <w:rFonts w:ascii="Muli" w:eastAsia="Muli" w:hAnsi="Muli" w:cs="Muli"/>
          <w:sz w:val="20"/>
          <w:szCs w:val="20"/>
        </w:rPr>
      </w:pPr>
    </w:p>
    <w:tbl>
      <w:tblPr>
        <w:tblStyle w:val="a6"/>
        <w:tblW w:w="13871"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5"/>
        <w:gridCol w:w="1106"/>
        <w:gridCol w:w="1224"/>
        <w:gridCol w:w="1116"/>
      </w:tblGrid>
      <w:tr w:rsidR="003959B7" w14:paraId="758CC1C8" w14:textId="77777777">
        <w:trPr>
          <w:trHeight w:val="320"/>
        </w:trPr>
        <w:tc>
          <w:tcPr>
            <w:tcW w:w="10425" w:type="dxa"/>
            <w:shd w:val="clear" w:color="auto" w:fill="FF126D"/>
          </w:tcPr>
          <w:p w14:paraId="7056891B" w14:textId="77777777" w:rsidR="003959B7" w:rsidRDefault="00C5473B">
            <w:pPr>
              <w:pStyle w:val="normal0"/>
              <w:spacing w:before="35"/>
              <w:ind w:left="107"/>
              <w:rPr>
                <w:rFonts w:ascii="Muli" w:eastAsia="Muli" w:hAnsi="Muli" w:cs="Muli"/>
                <w:sz w:val="20"/>
                <w:szCs w:val="20"/>
              </w:rPr>
            </w:pPr>
            <w:r>
              <w:rPr>
                <w:rFonts w:ascii="Muli" w:eastAsia="Muli" w:hAnsi="Muli" w:cs="Muli"/>
                <w:color w:val="FFFFFF"/>
                <w:sz w:val="20"/>
                <w:szCs w:val="20"/>
              </w:rPr>
              <w:t>Teacher materials…</w:t>
            </w:r>
          </w:p>
        </w:tc>
        <w:tc>
          <w:tcPr>
            <w:tcW w:w="1106" w:type="dxa"/>
            <w:shd w:val="clear" w:color="auto" w:fill="FF126D"/>
          </w:tcPr>
          <w:p w14:paraId="42D6D462" w14:textId="77777777" w:rsidR="003959B7" w:rsidRDefault="00C5473B">
            <w:pPr>
              <w:pStyle w:val="normal0"/>
              <w:spacing w:before="35"/>
              <w:ind w:left="107"/>
              <w:rPr>
                <w:rFonts w:ascii="Muli" w:eastAsia="Muli" w:hAnsi="Muli" w:cs="Muli"/>
                <w:sz w:val="20"/>
                <w:szCs w:val="20"/>
              </w:rPr>
            </w:pPr>
            <w:r>
              <w:rPr>
                <w:rFonts w:ascii="Muli" w:eastAsia="Muli" w:hAnsi="Muli" w:cs="Muli"/>
                <w:color w:val="FFFFFF"/>
                <w:sz w:val="20"/>
                <w:szCs w:val="20"/>
              </w:rPr>
              <w:t>Strong</w:t>
            </w:r>
          </w:p>
        </w:tc>
        <w:tc>
          <w:tcPr>
            <w:tcW w:w="1224" w:type="dxa"/>
            <w:shd w:val="clear" w:color="auto" w:fill="FF126D"/>
          </w:tcPr>
          <w:p w14:paraId="469E8BF1" w14:textId="77777777" w:rsidR="003959B7" w:rsidRDefault="00C5473B">
            <w:pPr>
              <w:pStyle w:val="normal0"/>
              <w:spacing w:before="35"/>
              <w:ind w:left="108"/>
              <w:rPr>
                <w:rFonts w:ascii="Muli" w:eastAsia="Muli" w:hAnsi="Muli" w:cs="Muli"/>
                <w:sz w:val="20"/>
                <w:szCs w:val="20"/>
              </w:rPr>
            </w:pPr>
            <w:r>
              <w:rPr>
                <w:rFonts w:ascii="Muli" w:eastAsia="Muli" w:hAnsi="Muli" w:cs="Muli"/>
                <w:color w:val="FFFFFF"/>
                <w:sz w:val="20"/>
                <w:szCs w:val="20"/>
              </w:rPr>
              <w:t>Adequate</w:t>
            </w:r>
          </w:p>
        </w:tc>
        <w:tc>
          <w:tcPr>
            <w:tcW w:w="1116" w:type="dxa"/>
            <w:shd w:val="clear" w:color="auto" w:fill="FF126D"/>
          </w:tcPr>
          <w:p w14:paraId="4B6B7C4F" w14:textId="77777777" w:rsidR="003959B7" w:rsidRDefault="00C5473B">
            <w:pPr>
              <w:pStyle w:val="normal0"/>
              <w:spacing w:before="35"/>
              <w:ind w:left="108"/>
              <w:rPr>
                <w:rFonts w:ascii="Muli" w:eastAsia="Muli" w:hAnsi="Muli" w:cs="Muli"/>
                <w:sz w:val="20"/>
                <w:szCs w:val="20"/>
              </w:rPr>
            </w:pPr>
            <w:r>
              <w:rPr>
                <w:rFonts w:ascii="Muli" w:eastAsia="Muli" w:hAnsi="Muli" w:cs="Muli"/>
                <w:color w:val="FFFFFF"/>
                <w:sz w:val="20"/>
                <w:szCs w:val="20"/>
              </w:rPr>
              <w:t>Weak</w:t>
            </w:r>
          </w:p>
        </w:tc>
      </w:tr>
      <w:tr w:rsidR="003959B7" w14:paraId="06DE2438" w14:textId="77777777">
        <w:trPr>
          <w:trHeight w:val="780"/>
        </w:trPr>
        <w:tc>
          <w:tcPr>
            <w:tcW w:w="10425" w:type="dxa"/>
          </w:tcPr>
          <w:p w14:paraId="33F302C1" w14:textId="77777777" w:rsidR="003959B7" w:rsidRDefault="00C5473B">
            <w:pPr>
              <w:pStyle w:val="normal0"/>
              <w:spacing w:before="1"/>
              <w:ind w:left="107" w:right="102"/>
              <w:rPr>
                <w:rFonts w:ascii="Muli" w:eastAsia="Muli" w:hAnsi="Muli" w:cs="Muli"/>
                <w:sz w:val="20"/>
                <w:szCs w:val="20"/>
              </w:rPr>
            </w:pPr>
            <w:r>
              <w:rPr>
                <w:rFonts w:ascii="Muli" w:eastAsia="Muli" w:hAnsi="Muli" w:cs="Muli"/>
                <w:b/>
                <w:sz w:val="20"/>
                <w:szCs w:val="20"/>
              </w:rPr>
              <w:t xml:space="preserve">SP1. Three-dimensional Performances. </w:t>
            </w:r>
            <w:r>
              <w:rPr>
                <w:rFonts w:ascii="Muli" w:eastAsia="Muli" w:hAnsi="Muli" w:cs="Muli"/>
                <w:sz w:val="20"/>
                <w:szCs w:val="20"/>
              </w:rPr>
              <w:t>Provide support with a range of sample student responses and/or rubrics for interpreting evidence of student learning across the three dimensions, specific to the element of each dimension, and related to the phenomenon/problem that provides context for the student performance.</w:t>
            </w:r>
          </w:p>
        </w:tc>
        <w:tc>
          <w:tcPr>
            <w:tcW w:w="1106" w:type="dxa"/>
          </w:tcPr>
          <w:p w14:paraId="0CBD6B93"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59D4A87D" w14:textId="77777777" w:rsidR="003959B7" w:rsidRDefault="003959B7">
            <w:pPr>
              <w:pStyle w:val="normal0"/>
              <w:rPr>
                <w:rFonts w:ascii="Muli" w:eastAsia="Muli" w:hAnsi="Muli" w:cs="Muli"/>
                <w:sz w:val="20"/>
                <w:szCs w:val="20"/>
              </w:rPr>
            </w:pPr>
          </w:p>
        </w:tc>
        <w:tc>
          <w:tcPr>
            <w:tcW w:w="1116" w:type="dxa"/>
          </w:tcPr>
          <w:p w14:paraId="4E50A531" w14:textId="77777777" w:rsidR="003959B7" w:rsidRDefault="003959B7">
            <w:pPr>
              <w:pStyle w:val="normal0"/>
              <w:rPr>
                <w:rFonts w:ascii="Muli" w:eastAsia="Muli" w:hAnsi="Muli" w:cs="Muli"/>
                <w:sz w:val="20"/>
                <w:szCs w:val="20"/>
              </w:rPr>
            </w:pPr>
          </w:p>
        </w:tc>
      </w:tr>
      <w:tr w:rsidR="003959B7" w14:paraId="7A4DF3DD" w14:textId="77777777">
        <w:trPr>
          <w:trHeight w:val="780"/>
        </w:trPr>
        <w:tc>
          <w:tcPr>
            <w:tcW w:w="10425" w:type="dxa"/>
          </w:tcPr>
          <w:p w14:paraId="13201C8A" w14:textId="77777777" w:rsidR="003959B7" w:rsidRDefault="00C5473B">
            <w:pPr>
              <w:pStyle w:val="normal0"/>
              <w:spacing w:before="1"/>
              <w:ind w:left="107" w:right="84"/>
              <w:rPr>
                <w:rFonts w:ascii="Muli" w:eastAsia="Muli" w:hAnsi="Muli" w:cs="Muli"/>
                <w:sz w:val="20"/>
                <w:szCs w:val="20"/>
              </w:rPr>
            </w:pPr>
            <w:r>
              <w:rPr>
                <w:rFonts w:ascii="Muli" w:eastAsia="Muli" w:hAnsi="Muli" w:cs="Muli"/>
                <w:b/>
                <w:sz w:val="20"/>
                <w:szCs w:val="20"/>
              </w:rPr>
              <w:t xml:space="preserve">SP2. Variety of Measure. </w:t>
            </w:r>
            <w:r>
              <w:rPr>
                <w:rFonts w:ascii="Muli" w:eastAsia="Muli" w:hAnsi="Muli" w:cs="Muli"/>
                <w:sz w:val="20"/>
                <w:szCs w:val="20"/>
              </w:rPr>
              <w:t>Provide guidance and scoring tools for using a variety of measures matched to the targeted learning goals to help students monitor their progress toward learning goals and reflect on what they have learned, how they learn it, and how to use metacognition productively.</w:t>
            </w:r>
          </w:p>
        </w:tc>
        <w:tc>
          <w:tcPr>
            <w:tcW w:w="1106" w:type="dxa"/>
          </w:tcPr>
          <w:p w14:paraId="51F38358"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06029D11" w14:textId="77777777" w:rsidR="003959B7" w:rsidRDefault="003959B7">
            <w:pPr>
              <w:pStyle w:val="normal0"/>
              <w:rPr>
                <w:rFonts w:ascii="Muli" w:eastAsia="Muli" w:hAnsi="Muli" w:cs="Muli"/>
                <w:sz w:val="20"/>
                <w:szCs w:val="20"/>
              </w:rPr>
            </w:pPr>
          </w:p>
        </w:tc>
        <w:tc>
          <w:tcPr>
            <w:tcW w:w="1116" w:type="dxa"/>
          </w:tcPr>
          <w:p w14:paraId="2D503D57" w14:textId="77777777" w:rsidR="003959B7" w:rsidRDefault="003959B7">
            <w:pPr>
              <w:pStyle w:val="normal0"/>
              <w:rPr>
                <w:rFonts w:ascii="Muli" w:eastAsia="Muli" w:hAnsi="Muli" w:cs="Muli"/>
                <w:sz w:val="20"/>
                <w:szCs w:val="20"/>
              </w:rPr>
            </w:pPr>
          </w:p>
        </w:tc>
      </w:tr>
      <w:tr w:rsidR="003959B7" w14:paraId="13D019A4" w14:textId="77777777">
        <w:trPr>
          <w:trHeight w:val="980"/>
        </w:trPr>
        <w:tc>
          <w:tcPr>
            <w:tcW w:w="10425" w:type="dxa"/>
          </w:tcPr>
          <w:p w14:paraId="1B916D82" w14:textId="77777777" w:rsidR="003959B7" w:rsidRDefault="00C5473B">
            <w:pPr>
              <w:pStyle w:val="normal0"/>
              <w:spacing w:before="1"/>
              <w:ind w:left="107" w:right="353"/>
              <w:rPr>
                <w:rFonts w:ascii="Muli" w:eastAsia="Muli" w:hAnsi="Muli" w:cs="Muli"/>
                <w:sz w:val="20"/>
                <w:szCs w:val="20"/>
              </w:rPr>
            </w:pPr>
            <w:r>
              <w:rPr>
                <w:rFonts w:ascii="Muli" w:eastAsia="Muli" w:hAnsi="Muli" w:cs="Muli"/>
                <w:b/>
                <w:sz w:val="20"/>
                <w:szCs w:val="20"/>
              </w:rPr>
              <w:t xml:space="preserve">SP3. Student Progress Over Time. </w:t>
            </w:r>
            <w:r>
              <w:rPr>
                <w:rFonts w:ascii="Muli" w:eastAsia="Muli" w:hAnsi="Muli" w:cs="Muli"/>
                <w:sz w:val="20"/>
                <w:szCs w:val="20"/>
              </w:rPr>
              <w:t>Provide guidance for using formative and summative assessments to monitor student progress over time. Examples include support for: capturing student growth; interpreting results; adjusting instruction and planning for future instruction; providing feedback to students; prompting students to consider what and how they’ve learned.</w:t>
            </w:r>
          </w:p>
        </w:tc>
        <w:tc>
          <w:tcPr>
            <w:tcW w:w="1106" w:type="dxa"/>
          </w:tcPr>
          <w:p w14:paraId="3522D065"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Pr>
          <w:p w14:paraId="13A18710" w14:textId="77777777" w:rsidR="003959B7" w:rsidRDefault="003959B7">
            <w:pPr>
              <w:pStyle w:val="normal0"/>
              <w:rPr>
                <w:rFonts w:ascii="Muli" w:eastAsia="Muli" w:hAnsi="Muli" w:cs="Muli"/>
                <w:sz w:val="20"/>
                <w:szCs w:val="20"/>
              </w:rPr>
            </w:pPr>
          </w:p>
        </w:tc>
        <w:tc>
          <w:tcPr>
            <w:tcW w:w="1116" w:type="dxa"/>
          </w:tcPr>
          <w:p w14:paraId="36C73885" w14:textId="77777777" w:rsidR="003959B7" w:rsidRDefault="003959B7">
            <w:pPr>
              <w:pStyle w:val="normal0"/>
              <w:rPr>
                <w:rFonts w:ascii="Muli" w:eastAsia="Muli" w:hAnsi="Muli" w:cs="Muli"/>
                <w:sz w:val="20"/>
                <w:szCs w:val="20"/>
              </w:rPr>
            </w:pPr>
          </w:p>
        </w:tc>
      </w:tr>
      <w:tr w:rsidR="003959B7" w14:paraId="75165D2C" w14:textId="77777777">
        <w:trPr>
          <w:trHeight w:val="600"/>
        </w:trPr>
        <w:tc>
          <w:tcPr>
            <w:tcW w:w="10425" w:type="dxa"/>
            <w:tcBorders>
              <w:bottom w:val="single" w:sz="8" w:space="0" w:color="000000"/>
            </w:tcBorders>
          </w:tcPr>
          <w:p w14:paraId="31745B75" w14:textId="77777777" w:rsidR="003959B7" w:rsidRDefault="00C5473B">
            <w:pPr>
              <w:pStyle w:val="normal0"/>
              <w:spacing w:before="1"/>
              <w:ind w:left="107" w:right="236"/>
              <w:rPr>
                <w:rFonts w:ascii="Muli" w:eastAsia="Muli" w:hAnsi="Muli" w:cs="Muli"/>
                <w:sz w:val="20"/>
                <w:szCs w:val="20"/>
              </w:rPr>
            </w:pPr>
            <w:r>
              <w:rPr>
                <w:rFonts w:ascii="Muli" w:eastAsia="Muli" w:hAnsi="Muli" w:cs="Muli"/>
                <w:b/>
                <w:sz w:val="20"/>
                <w:szCs w:val="20"/>
              </w:rPr>
              <w:t xml:space="preserve">SP4. Equitable Access. </w:t>
            </w:r>
            <w:r>
              <w:rPr>
                <w:rFonts w:ascii="Muli" w:eastAsia="Muli" w:hAnsi="Muli" w:cs="Muli"/>
                <w:sz w:val="20"/>
                <w:szCs w:val="20"/>
              </w:rPr>
              <w:t>Provide support and strategies for ensuring that assessments are accessible to students from diverse backgrounds and with diverse learning needs.</w:t>
            </w:r>
          </w:p>
        </w:tc>
        <w:tc>
          <w:tcPr>
            <w:tcW w:w="1106" w:type="dxa"/>
          </w:tcPr>
          <w:p w14:paraId="57E557CB" w14:textId="77777777" w:rsidR="003959B7" w:rsidRDefault="00C5473B">
            <w:pPr>
              <w:pStyle w:val="normal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Borders>
              <w:bottom w:val="single" w:sz="8" w:space="0" w:color="000000"/>
            </w:tcBorders>
          </w:tcPr>
          <w:p w14:paraId="1465DABE" w14:textId="77777777" w:rsidR="003959B7" w:rsidRDefault="003959B7">
            <w:pPr>
              <w:pStyle w:val="normal0"/>
              <w:rPr>
                <w:rFonts w:ascii="Muli" w:eastAsia="Muli" w:hAnsi="Muli" w:cs="Muli"/>
                <w:sz w:val="20"/>
                <w:szCs w:val="20"/>
              </w:rPr>
            </w:pPr>
          </w:p>
        </w:tc>
        <w:tc>
          <w:tcPr>
            <w:tcW w:w="1116" w:type="dxa"/>
            <w:tcBorders>
              <w:bottom w:val="single" w:sz="8" w:space="0" w:color="000000"/>
            </w:tcBorders>
          </w:tcPr>
          <w:p w14:paraId="22857641" w14:textId="77777777" w:rsidR="003959B7" w:rsidRDefault="003959B7">
            <w:pPr>
              <w:pStyle w:val="normal0"/>
              <w:rPr>
                <w:rFonts w:ascii="Muli" w:eastAsia="Muli" w:hAnsi="Muli" w:cs="Muli"/>
                <w:sz w:val="20"/>
                <w:szCs w:val="20"/>
              </w:rPr>
            </w:pPr>
          </w:p>
        </w:tc>
      </w:tr>
    </w:tbl>
    <w:p w14:paraId="76015EB6" w14:textId="77777777" w:rsidR="003959B7" w:rsidRDefault="003959B7">
      <w:pPr>
        <w:pStyle w:val="normal0"/>
        <w:rPr>
          <w:rFonts w:ascii="Muli" w:eastAsia="Muli" w:hAnsi="Muli" w:cs="Muli"/>
          <w:sz w:val="20"/>
          <w:szCs w:val="20"/>
        </w:rPr>
      </w:pPr>
    </w:p>
    <w:p w14:paraId="2EFA4631" w14:textId="77777777" w:rsidR="00AF6C9D" w:rsidRDefault="00AF6C9D">
      <w:pPr>
        <w:pStyle w:val="normal0"/>
        <w:rPr>
          <w:rFonts w:ascii="Muli" w:eastAsia="Muli" w:hAnsi="Muli" w:cs="Muli"/>
          <w:sz w:val="20"/>
          <w:szCs w:val="20"/>
        </w:rPr>
      </w:pPr>
    </w:p>
    <w:p w14:paraId="5263906E" w14:textId="77777777" w:rsidR="00AF6C9D" w:rsidRDefault="00AF6C9D">
      <w:pPr>
        <w:pStyle w:val="normal0"/>
        <w:rPr>
          <w:rFonts w:ascii="Muli" w:eastAsia="Muli" w:hAnsi="Muli" w:cs="Muli"/>
          <w:sz w:val="20"/>
          <w:szCs w:val="20"/>
        </w:rPr>
      </w:pPr>
    </w:p>
    <w:p w14:paraId="50A8A281" w14:textId="77777777" w:rsidR="00AF6C9D" w:rsidRDefault="00AF6C9D">
      <w:pPr>
        <w:pStyle w:val="normal0"/>
        <w:rPr>
          <w:rFonts w:ascii="Muli" w:eastAsia="Muli" w:hAnsi="Muli" w:cs="Muli"/>
          <w:sz w:val="20"/>
          <w:szCs w:val="20"/>
        </w:rPr>
      </w:pPr>
    </w:p>
    <w:p w14:paraId="706F00D5" w14:textId="77777777" w:rsidR="00AF6C9D" w:rsidRDefault="00AF6C9D">
      <w:pPr>
        <w:pStyle w:val="normal0"/>
        <w:rPr>
          <w:rFonts w:ascii="Muli" w:eastAsia="Muli" w:hAnsi="Muli" w:cs="Muli"/>
          <w:sz w:val="20"/>
          <w:szCs w:val="20"/>
        </w:rPr>
      </w:pPr>
    </w:p>
    <w:p w14:paraId="6D7FE0A4" w14:textId="77777777" w:rsidR="00AF6C9D" w:rsidRDefault="00AF6C9D">
      <w:pPr>
        <w:pStyle w:val="normal0"/>
        <w:rPr>
          <w:rFonts w:ascii="Muli" w:eastAsia="Muli" w:hAnsi="Muli" w:cs="Muli"/>
          <w:sz w:val="20"/>
          <w:szCs w:val="20"/>
        </w:rPr>
      </w:pPr>
    </w:p>
    <w:p w14:paraId="5DD9D7C1" w14:textId="77777777" w:rsidR="00AF6C9D" w:rsidRDefault="00AF6C9D">
      <w:pPr>
        <w:pStyle w:val="normal0"/>
        <w:rPr>
          <w:rFonts w:ascii="Muli" w:eastAsia="Muli" w:hAnsi="Muli" w:cs="Muli"/>
          <w:sz w:val="20"/>
          <w:szCs w:val="20"/>
        </w:rPr>
      </w:pPr>
    </w:p>
    <w:p w14:paraId="093701C6" w14:textId="77777777" w:rsidR="00AF6C9D" w:rsidRDefault="00AF6C9D">
      <w:pPr>
        <w:pStyle w:val="normal0"/>
        <w:rPr>
          <w:rFonts w:ascii="Muli" w:eastAsia="Muli" w:hAnsi="Muli" w:cs="Muli"/>
          <w:sz w:val="20"/>
          <w:szCs w:val="20"/>
        </w:rPr>
      </w:pPr>
    </w:p>
    <w:p w14:paraId="1E4BC9AC" w14:textId="77777777" w:rsidR="00AF6C9D" w:rsidRDefault="00AF6C9D">
      <w:pPr>
        <w:pStyle w:val="normal0"/>
        <w:rPr>
          <w:rFonts w:ascii="Muli" w:eastAsia="Muli" w:hAnsi="Muli" w:cs="Muli"/>
          <w:sz w:val="20"/>
          <w:szCs w:val="20"/>
        </w:rPr>
      </w:pPr>
    </w:p>
    <w:p w14:paraId="5C847C90" w14:textId="77777777" w:rsidR="00AF6C9D" w:rsidRDefault="00AF6C9D">
      <w:pPr>
        <w:pStyle w:val="normal0"/>
        <w:rPr>
          <w:rFonts w:ascii="Muli" w:eastAsia="Muli" w:hAnsi="Muli" w:cs="Muli"/>
          <w:sz w:val="20"/>
          <w:szCs w:val="20"/>
        </w:rPr>
      </w:pPr>
    </w:p>
    <w:p w14:paraId="61AB792D" w14:textId="77777777" w:rsidR="00AF6C9D" w:rsidRDefault="00AF6C9D">
      <w:pPr>
        <w:pStyle w:val="normal0"/>
        <w:rPr>
          <w:rFonts w:ascii="Muli" w:eastAsia="Muli" w:hAnsi="Muli" w:cs="Muli"/>
          <w:sz w:val="20"/>
          <w:szCs w:val="20"/>
        </w:rPr>
      </w:pPr>
    </w:p>
    <w:p w14:paraId="0A549D86" w14:textId="77777777" w:rsidR="00AF6C9D" w:rsidRDefault="00AF6C9D">
      <w:pPr>
        <w:pStyle w:val="normal0"/>
        <w:rPr>
          <w:rFonts w:ascii="Muli" w:eastAsia="Muli" w:hAnsi="Muli" w:cs="Muli"/>
          <w:sz w:val="20"/>
          <w:szCs w:val="20"/>
        </w:rPr>
      </w:pPr>
    </w:p>
    <w:p w14:paraId="6B2BDFEA" w14:textId="77777777" w:rsidR="00AF6C9D" w:rsidRDefault="00AF6C9D">
      <w:pPr>
        <w:pStyle w:val="normal0"/>
        <w:rPr>
          <w:rFonts w:ascii="Muli" w:eastAsia="Muli" w:hAnsi="Muli" w:cs="Muli"/>
          <w:sz w:val="20"/>
          <w:szCs w:val="20"/>
        </w:rPr>
      </w:pPr>
    </w:p>
    <w:p w14:paraId="0D3A03BB" w14:textId="77777777" w:rsidR="00AF6C9D" w:rsidRDefault="00AF6C9D">
      <w:pPr>
        <w:pStyle w:val="normal0"/>
        <w:rPr>
          <w:rFonts w:ascii="Muli" w:eastAsia="Muli" w:hAnsi="Muli" w:cs="Muli"/>
          <w:sz w:val="20"/>
          <w:szCs w:val="20"/>
        </w:rPr>
      </w:pPr>
    </w:p>
    <w:p w14:paraId="05ADC9D2" w14:textId="77777777" w:rsidR="00AF6C9D" w:rsidRDefault="00AF6C9D">
      <w:pPr>
        <w:pStyle w:val="normal0"/>
        <w:rPr>
          <w:rFonts w:ascii="Muli" w:eastAsia="Muli" w:hAnsi="Muli" w:cs="Muli"/>
          <w:sz w:val="20"/>
          <w:szCs w:val="20"/>
        </w:rPr>
      </w:pPr>
    </w:p>
    <w:tbl>
      <w:tblPr>
        <w:tblStyle w:val="a7"/>
        <w:tblW w:w="13875"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5"/>
        <w:gridCol w:w="4590"/>
      </w:tblGrid>
      <w:tr w:rsidR="003959B7" w14:paraId="3D6C64FC" w14:textId="77777777">
        <w:trPr>
          <w:trHeight w:val="300"/>
        </w:trPr>
        <w:tc>
          <w:tcPr>
            <w:tcW w:w="13875" w:type="dxa"/>
            <w:gridSpan w:val="2"/>
            <w:tcBorders>
              <w:top w:val="single" w:sz="8" w:space="0" w:color="000000"/>
            </w:tcBorders>
            <w:shd w:val="clear" w:color="auto" w:fill="FF126D"/>
          </w:tcPr>
          <w:p w14:paraId="2D9B6487" w14:textId="77777777" w:rsidR="003959B7" w:rsidRDefault="00C5473B">
            <w:pPr>
              <w:pStyle w:val="normal0"/>
              <w:spacing w:line="267" w:lineRule="auto"/>
              <w:ind w:left="180"/>
              <w:rPr>
                <w:rFonts w:ascii="Muli" w:eastAsia="Muli" w:hAnsi="Muli" w:cs="Muli"/>
                <w:sz w:val="20"/>
                <w:szCs w:val="20"/>
              </w:rPr>
            </w:pPr>
            <w:r>
              <w:rPr>
                <w:rFonts w:ascii="Muli" w:eastAsia="Muli" w:hAnsi="Muli" w:cs="Muli"/>
                <w:color w:val="FFFFFF"/>
                <w:sz w:val="20"/>
                <w:szCs w:val="20"/>
              </w:rPr>
              <w:lastRenderedPageBreak/>
              <w:t>Strengths related to these Teacher Supports</w:t>
            </w:r>
          </w:p>
        </w:tc>
      </w:tr>
      <w:tr w:rsidR="003959B7" w14:paraId="1A018D7A" w14:textId="77777777">
        <w:trPr>
          <w:trHeight w:val="980"/>
        </w:trPr>
        <w:tc>
          <w:tcPr>
            <w:tcW w:w="13875" w:type="dxa"/>
            <w:gridSpan w:val="2"/>
            <w:shd w:val="clear" w:color="auto" w:fill="D9D9D9"/>
          </w:tcPr>
          <w:p w14:paraId="026AFE81" w14:textId="77777777" w:rsidR="003959B7" w:rsidRDefault="00C5473B">
            <w:pPr>
              <w:pStyle w:val="normal0"/>
              <w:ind w:left="180"/>
              <w:rPr>
                <w:rFonts w:ascii="Muli" w:eastAsia="Muli" w:hAnsi="Muli" w:cs="Muli"/>
                <w:sz w:val="20"/>
                <w:szCs w:val="20"/>
              </w:rPr>
            </w:pPr>
            <w:r>
              <w:rPr>
                <w:rFonts w:ascii="Muli" w:eastAsia="Muli" w:hAnsi="Muli" w:cs="Muli"/>
                <w:b/>
                <w:sz w:val="20"/>
                <w:szCs w:val="20"/>
              </w:rPr>
              <w:t>SP1. Three-dimensional Performances.</w:t>
            </w:r>
            <w:r>
              <w:rPr>
                <w:rFonts w:ascii="Muli" w:eastAsia="Muli" w:hAnsi="Muli" w:cs="Muli"/>
                <w:sz w:val="20"/>
                <w:szCs w:val="20"/>
              </w:rPr>
              <w:t xml:space="preserve"> </w:t>
            </w:r>
          </w:p>
          <w:p w14:paraId="5DB23E01" w14:textId="77777777" w:rsidR="003959B7" w:rsidRDefault="00C5473B">
            <w:pPr>
              <w:pStyle w:val="normal0"/>
              <w:ind w:left="180"/>
              <w:rPr>
                <w:rFonts w:ascii="Muli" w:eastAsia="Muli" w:hAnsi="Muli" w:cs="Muli"/>
                <w:b/>
                <w:sz w:val="20"/>
                <w:szCs w:val="20"/>
              </w:rPr>
            </w:pPr>
            <w:r>
              <w:rPr>
                <w:rFonts w:ascii="Muli" w:eastAsia="Muli" w:hAnsi="Muli" w:cs="Muli"/>
                <w:sz w:val="20"/>
                <w:szCs w:val="20"/>
              </w:rPr>
              <w:t>The module provides strong support with a range of sample student responses and rubrics for interpreting evidence of student learning across the three dimensions. These are specific to the element of each dimension and related to the Module Phenomenon that provides the context for the student performance.</w:t>
            </w:r>
          </w:p>
        </w:tc>
      </w:tr>
      <w:tr w:rsidR="003959B7" w14:paraId="6D4D30A1" w14:textId="77777777" w:rsidTr="00AF6C9D">
        <w:trPr>
          <w:trHeight w:val="8230"/>
        </w:trPr>
        <w:tc>
          <w:tcPr>
            <w:tcW w:w="9285" w:type="dxa"/>
          </w:tcPr>
          <w:p w14:paraId="489D3505" w14:textId="77777777" w:rsidR="003959B7" w:rsidRDefault="003959B7">
            <w:pPr>
              <w:pStyle w:val="normal0"/>
              <w:ind w:left="180"/>
              <w:rPr>
                <w:rFonts w:ascii="Muli" w:eastAsia="Muli" w:hAnsi="Muli" w:cs="Muli"/>
                <w:b/>
                <w:color w:val="FF126D"/>
                <w:sz w:val="20"/>
                <w:szCs w:val="20"/>
              </w:rPr>
            </w:pPr>
          </w:p>
          <w:p w14:paraId="5207E764" w14:textId="77777777" w:rsidR="003959B7" w:rsidRDefault="00C5473B">
            <w:pPr>
              <w:pStyle w:val="normal0"/>
              <w:ind w:left="180"/>
              <w:rPr>
                <w:rFonts w:ascii="Muli" w:eastAsia="Muli" w:hAnsi="Muli" w:cs="Muli"/>
                <w:sz w:val="20"/>
                <w:szCs w:val="20"/>
              </w:rPr>
            </w:pPr>
            <w:r>
              <w:rPr>
                <w:rFonts w:ascii="Muli" w:eastAsia="Muli" w:hAnsi="Muli" w:cs="Muli"/>
                <w:b/>
                <w:color w:val="FF126D"/>
                <w:sz w:val="20"/>
                <w:szCs w:val="20"/>
              </w:rPr>
              <w:t>Evidence</w:t>
            </w:r>
          </w:p>
          <w:p w14:paraId="1444DAB8" w14:textId="77777777" w:rsidR="003959B7" w:rsidRDefault="00C5473B">
            <w:pPr>
              <w:pStyle w:val="normal0"/>
              <w:numPr>
                <w:ilvl w:val="0"/>
                <w:numId w:val="8"/>
              </w:numPr>
              <w:ind w:right="90"/>
              <w:contextualSpacing/>
              <w:rPr>
                <w:rFonts w:ascii="Muli" w:eastAsia="Muli" w:hAnsi="Muli" w:cs="Muli"/>
                <w:sz w:val="20"/>
                <w:szCs w:val="20"/>
              </w:rPr>
            </w:pPr>
            <w:r>
              <w:rPr>
                <w:rFonts w:ascii="Muli" w:eastAsia="Muli" w:hAnsi="Muli" w:cs="Muli"/>
                <w:sz w:val="20"/>
                <w:szCs w:val="20"/>
              </w:rPr>
              <w:t xml:space="preserve">Rubrics are provided for the Performance Tasks and the Benchmark Assessment. The rubrics provide sample answers in the form of look fors that support teachers to interpret evidence of student attainment of the four different levels—emerging, developing, proficient, and advanced. The rubrics are specific to certain performance expectations with the assessed dimensions highlighted. </w:t>
            </w:r>
          </w:p>
          <w:p w14:paraId="30879432" w14:textId="77777777" w:rsidR="003959B7" w:rsidRDefault="00C5473B">
            <w:pPr>
              <w:pStyle w:val="normal0"/>
              <w:numPr>
                <w:ilvl w:val="0"/>
                <w:numId w:val="8"/>
              </w:numPr>
              <w:ind w:right="90"/>
              <w:contextualSpacing/>
              <w:rPr>
                <w:rFonts w:ascii="Muli" w:eastAsia="Muli" w:hAnsi="Muli" w:cs="Muli"/>
                <w:sz w:val="20"/>
                <w:szCs w:val="20"/>
              </w:rPr>
            </w:pPr>
            <w:r>
              <w:rPr>
                <w:rFonts w:ascii="Muli" w:eastAsia="Muli" w:hAnsi="Muli" w:cs="Muli"/>
                <w:sz w:val="20"/>
                <w:szCs w:val="20"/>
              </w:rPr>
              <w:t xml:space="preserve">The assessment tasks are well connected to the problems, phenomena, and dimensions being assessed. In the </w:t>
            </w:r>
            <w:r>
              <w:rPr>
                <w:rFonts w:ascii="Muli" w:eastAsia="Muli" w:hAnsi="Muli" w:cs="Muli"/>
                <w:b/>
                <w:color w:val="FF126D"/>
                <w:sz w:val="20"/>
                <w:szCs w:val="20"/>
              </w:rPr>
              <w:t xml:space="preserve">Benchmark Assessment </w:t>
            </w:r>
            <w:r>
              <w:rPr>
                <w:rFonts w:ascii="Muli" w:eastAsia="Muli" w:hAnsi="Muli" w:cs="Muli"/>
                <w:sz w:val="20"/>
                <w:szCs w:val="20"/>
              </w:rPr>
              <w:t>From Matter to Organisms (</w:t>
            </w:r>
            <w:r>
              <w:rPr>
                <w:rFonts w:ascii="Muli" w:eastAsia="Muli" w:hAnsi="Muli" w:cs="Muli"/>
                <w:b/>
                <w:color w:val="FF126D"/>
                <w:sz w:val="20"/>
                <w:szCs w:val="20"/>
              </w:rPr>
              <w:t>TE p. 184</w:t>
            </w:r>
            <w:r>
              <w:rPr>
                <w:rFonts w:ascii="Muli" w:eastAsia="Muli" w:hAnsi="Muli" w:cs="Muli"/>
                <w:sz w:val="20"/>
                <w:szCs w:val="20"/>
              </w:rPr>
              <w:t>), Rubrics 1 and 2 assess PE 5-LS2-1, while Rubric 3 assesses PE 5-PS3-1. Rubric 1 details that a student developing mastery of these dimensions would develop a model showing some accurate interactions of living and nonliving components. An example answer of incorrect labeling and misunderstanding decomposition is provided.</w:t>
            </w:r>
          </w:p>
        </w:tc>
        <w:tc>
          <w:tcPr>
            <w:tcW w:w="4590" w:type="dxa"/>
          </w:tcPr>
          <w:p w14:paraId="5C4D035A" w14:textId="77777777" w:rsidR="003959B7" w:rsidRDefault="00C5473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D0E27CC" wp14:editId="331991EE">
                  <wp:extent cx="2247900" cy="2590800"/>
                  <wp:effectExtent l="12700" t="12700" r="12700" b="1270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247900" cy="2590800"/>
                          </a:xfrm>
                          <a:prstGeom prst="rect">
                            <a:avLst/>
                          </a:prstGeom>
                          <a:ln w="12700">
                            <a:solidFill>
                              <a:srgbClr val="D9D9D9"/>
                            </a:solidFill>
                            <a:prstDash val="solid"/>
                          </a:ln>
                        </pic:spPr>
                      </pic:pic>
                    </a:graphicData>
                  </a:graphic>
                </wp:inline>
              </w:drawing>
            </w:r>
          </w:p>
          <w:p w14:paraId="11866E96" w14:textId="77777777" w:rsidR="003959B7" w:rsidRDefault="00C5473B">
            <w:pPr>
              <w:pStyle w:val="normal0"/>
              <w:ind w:left="90" w:right="90"/>
              <w:rPr>
                <w:rFonts w:ascii="Muli" w:eastAsia="Muli" w:hAnsi="Muli" w:cs="Muli"/>
                <w:sz w:val="20"/>
                <w:szCs w:val="20"/>
              </w:rPr>
            </w:pPr>
            <w:r>
              <w:rPr>
                <w:rFonts w:ascii="Muli" w:eastAsia="Muli" w:hAnsi="Muli" w:cs="Muli"/>
                <w:b/>
                <w:color w:val="FF126D"/>
                <w:sz w:val="20"/>
                <w:szCs w:val="20"/>
              </w:rPr>
              <w:t>Benchmark Assessment TE p. 184</w:t>
            </w:r>
          </w:p>
        </w:tc>
      </w:tr>
      <w:tr w:rsidR="003959B7" w14:paraId="2F948195" w14:textId="77777777">
        <w:trPr>
          <w:trHeight w:val="820"/>
        </w:trPr>
        <w:tc>
          <w:tcPr>
            <w:tcW w:w="13875" w:type="dxa"/>
            <w:gridSpan w:val="2"/>
            <w:shd w:val="clear" w:color="auto" w:fill="D9D9D9"/>
          </w:tcPr>
          <w:p w14:paraId="454F7CE9"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lastRenderedPageBreak/>
              <w:t xml:space="preserve">SP2. Variety of Measure. </w:t>
            </w:r>
          </w:p>
          <w:p w14:paraId="1577CA31" w14:textId="77777777" w:rsidR="003959B7" w:rsidRDefault="00C5473B">
            <w:pPr>
              <w:pStyle w:val="normal0"/>
              <w:ind w:left="180"/>
              <w:rPr>
                <w:rFonts w:ascii="Muli" w:eastAsia="Muli" w:hAnsi="Muli" w:cs="Muli"/>
                <w:sz w:val="20"/>
                <w:szCs w:val="20"/>
              </w:rPr>
            </w:pPr>
            <w:r>
              <w:rPr>
                <w:rFonts w:ascii="Muli" w:eastAsia="Muli" w:hAnsi="Muli" w:cs="Muli"/>
                <w:sz w:val="20"/>
                <w:szCs w:val="20"/>
              </w:rPr>
              <w:t>The module provides strong guidance and scoring tools for using a variety of measures matched to the targeted learning goals to help students monitor their progress toward learning goals and reflect on what they have learned, how they learn it, and how to use metacognition productively.</w:t>
            </w:r>
          </w:p>
        </w:tc>
      </w:tr>
      <w:tr w:rsidR="003959B7" w14:paraId="3EDA9016" w14:textId="77777777">
        <w:trPr>
          <w:trHeight w:val="7420"/>
        </w:trPr>
        <w:tc>
          <w:tcPr>
            <w:tcW w:w="9285" w:type="dxa"/>
          </w:tcPr>
          <w:p w14:paraId="6F3C0B6A" w14:textId="77777777" w:rsidR="003959B7" w:rsidRDefault="003959B7">
            <w:pPr>
              <w:pStyle w:val="normal0"/>
              <w:ind w:left="180"/>
              <w:rPr>
                <w:rFonts w:ascii="Muli" w:eastAsia="Muli" w:hAnsi="Muli" w:cs="Muli"/>
                <w:b/>
                <w:color w:val="FF126D"/>
                <w:sz w:val="20"/>
                <w:szCs w:val="20"/>
              </w:rPr>
            </w:pPr>
          </w:p>
          <w:p w14:paraId="6D8EDCFD" w14:textId="77777777" w:rsidR="003959B7" w:rsidRDefault="00C5473B">
            <w:pPr>
              <w:pStyle w:val="normal0"/>
              <w:ind w:left="180"/>
              <w:rPr>
                <w:rFonts w:ascii="Muli" w:eastAsia="Muli" w:hAnsi="Muli" w:cs="Muli"/>
                <w:b/>
                <w:sz w:val="20"/>
                <w:szCs w:val="20"/>
              </w:rPr>
            </w:pPr>
            <w:r>
              <w:rPr>
                <w:rFonts w:ascii="Muli" w:eastAsia="Muli" w:hAnsi="Muli" w:cs="Muli"/>
                <w:b/>
                <w:color w:val="FF126D"/>
                <w:sz w:val="20"/>
                <w:szCs w:val="20"/>
              </w:rPr>
              <w:t>Evidence</w:t>
            </w:r>
          </w:p>
          <w:p w14:paraId="1CC0BCF0" w14:textId="77777777" w:rsidR="003959B7" w:rsidRDefault="00C5473B">
            <w:pPr>
              <w:pStyle w:val="normal0"/>
              <w:numPr>
                <w:ilvl w:val="0"/>
                <w:numId w:val="6"/>
              </w:numPr>
              <w:ind w:right="90"/>
              <w:contextualSpacing/>
              <w:rPr>
                <w:rFonts w:ascii="Muli" w:eastAsia="Muli" w:hAnsi="Muli" w:cs="Muli"/>
                <w:sz w:val="20"/>
                <w:szCs w:val="20"/>
              </w:rPr>
            </w:pPr>
            <w:r>
              <w:rPr>
                <w:rFonts w:ascii="Muli" w:eastAsia="Muli" w:hAnsi="Muli" w:cs="Muli"/>
                <w:sz w:val="20"/>
                <w:szCs w:val="20"/>
              </w:rPr>
              <w:t xml:space="preserve">Teacher support for guidance and scoring tools matched to the learning goals is integrated through the module. In addition to the rubrics mentioned above and answer guides for the module multiple choice assessment, the printed teacher edition contains TB pages with sample student answers, so at a glance teachers have guidance on what student understanding looks like (e.g., </w:t>
            </w:r>
            <w:r>
              <w:rPr>
                <w:rFonts w:ascii="Muli" w:eastAsia="Muli" w:hAnsi="Muli" w:cs="Muli"/>
                <w:b/>
                <w:color w:val="FF126D"/>
                <w:sz w:val="20"/>
                <w:szCs w:val="20"/>
              </w:rPr>
              <w:t>DQ1L3 TE Investigate p. 23</w:t>
            </w:r>
            <w:r>
              <w:rPr>
                <w:rFonts w:ascii="Muli" w:eastAsia="Muli" w:hAnsi="Muli" w:cs="Muli"/>
                <w:sz w:val="20"/>
                <w:szCs w:val="20"/>
              </w:rPr>
              <w:t xml:space="preserve">, </w:t>
            </w:r>
            <w:r>
              <w:rPr>
                <w:rFonts w:ascii="Muli" w:eastAsia="Muli" w:hAnsi="Muli" w:cs="Muli"/>
                <w:b/>
                <w:color w:val="FF126D"/>
                <w:sz w:val="20"/>
                <w:szCs w:val="20"/>
              </w:rPr>
              <w:t>DQ6L2 TE Investigate p. 205</w:t>
            </w:r>
            <w:r>
              <w:rPr>
                <w:rFonts w:ascii="Muli" w:eastAsia="Muli" w:hAnsi="Muli" w:cs="Muli"/>
                <w:sz w:val="20"/>
                <w:szCs w:val="20"/>
              </w:rPr>
              <w:t xml:space="preserve">). A digital version of this completed TB is available online. </w:t>
            </w:r>
          </w:p>
        </w:tc>
        <w:tc>
          <w:tcPr>
            <w:tcW w:w="4590" w:type="dxa"/>
          </w:tcPr>
          <w:p w14:paraId="291D13BD" w14:textId="77777777" w:rsidR="003959B7" w:rsidRDefault="00C5473B">
            <w:pPr>
              <w:pStyle w:val="normal0"/>
              <w:ind w:left="180" w:hanging="135"/>
              <w:rPr>
                <w:rFonts w:ascii="Muli" w:eastAsia="Muli" w:hAnsi="Muli" w:cs="Muli"/>
                <w:sz w:val="20"/>
                <w:szCs w:val="20"/>
              </w:rPr>
            </w:pPr>
            <w:r>
              <w:rPr>
                <w:rFonts w:ascii="Muli" w:eastAsia="Muli" w:hAnsi="Muli" w:cs="Muli"/>
                <w:noProof/>
                <w:sz w:val="20"/>
                <w:szCs w:val="20"/>
              </w:rPr>
              <w:drawing>
                <wp:inline distT="114300" distB="114300" distL="114300" distR="114300" wp14:anchorId="7700229C" wp14:editId="5B3CC1FE">
                  <wp:extent cx="2800985" cy="1912647"/>
                  <wp:effectExtent l="12700" t="12700" r="12700" b="12700"/>
                  <wp:docPr id="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l="4307" r="9244"/>
                          <a:stretch>
                            <a:fillRect/>
                          </a:stretch>
                        </pic:blipFill>
                        <pic:spPr>
                          <a:xfrm>
                            <a:off x="0" y="0"/>
                            <a:ext cx="2800985" cy="1912647"/>
                          </a:xfrm>
                          <a:prstGeom prst="rect">
                            <a:avLst/>
                          </a:prstGeom>
                          <a:ln w="12700">
                            <a:solidFill>
                              <a:srgbClr val="CCCCCC"/>
                            </a:solidFill>
                            <a:prstDash val="solid"/>
                          </a:ln>
                        </pic:spPr>
                      </pic:pic>
                    </a:graphicData>
                  </a:graphic>
                </wp:inline>
              </w:drawing>
            </w:r>
          </w:p>
          <w:p w14:paraId="5B8AF740" w14:textId="77777777" w:rsidR="003959B7" w:rsidRDefault="00C5473B">
            <w:pPr>
              <w:pStyle w:val="normal0"/>
              <w:ind w:right="90" w:firstLine="45"/>
              <w:rPr>
                <w:rFonts w:ascii="Muli" w:eastAsia="Muli" w:hAnsi="Muli" w:cs="Muli"/>
                <w:b/>
                <w:color w:val="FF126D"/>
                <w:sz w:val="20"/>
                <w:szCs w:val="20"/>
              </w:rPr>
            </w:pPr>
            <w:r>
              <w:rPr>
                <w:rFonts w:ascii="Muli" w:eastAsia="Muli" w:hAnsi="Muli" w:cs="Muli"/>
                <w:b/>
                <w:color w:val="FF126D"/>
                <w:sz w:val="20"/>
                <w:szCs w:val="20"/>
              </w:rPr>
              <w:t>DQ1L3 TE Investigate p. 23</w:t>
            </w:r>
          </w:p>
          <w:p w14:paraId="7D3C37ED" w14:textId="77777777" w:rsidR="003959B7" w:rsidRDefault="003959B7">
            <w:pPr>
              <w:pStyle w:val="normal0"/>
              <w:ind w:right="90" w:firstLine="45"/>
              <w:rPr>
                <w:rFonts w:ascii="Muli" w:eastAsia="Muli" w:hAnsi="Muli" w:cs="Muli"/>
                <w:b/>
                <w:color w:val="FF126D"/>
                <w:sz w:val="20"/>
                <w:szCs w:val="20"/>
              </w:rPr>
            </w:pPr>
          </w:p>
          <w:p w14:paraId="0A3A6B99" w14:textId="77777777" w:rsidR="003959B7" w:rsidRDefault="00C5473B">
            <w:pPr>
              <w:pStyle w:val="normal0"/>
              <w:ind w:right="90" w:firstLine="4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4EB08E9" wp14:editId="07C1B21B">
                  <wp:extent cx="2785745" cy="1893578"/>
                  <wp:effectExtent l="12700" t="12700" r="12700" b="127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785745" cy="1893578"/>
                          </a:xfrm>
                          <a:prstGeom prst="rect">
                            <a:avLst/>
                          </a:prstGeom>
                          <a:ln w="12700">
                            <a:solidFill>
                              <a:srgbClr val="D9D9D9"/>
                            </a:solidFill>
                            <a:prstDash val="solid"/>
                          </a:ln>
                        </pic:spPr>
                      </pic:pic>
                    </a:graphicData>
                  </a:graphic>
                </wp:inline>
              </w:drawing>
            </w:r>
          </w:p>
          <w:p w14:paraId="7E3E80A7" w14:textId="77777777" w:rsidR="003959B7" w:rsidRDefault="00C5473B">
            <w:pPr>
              <w:pStyle w:val="normal0"/>
              <w:ind w:right="90" w:firstLine="45"/>
              <w:rPr>
                <w:rFonts w:ascii="Muli" w:eastAsia="Muli" w:hAnsi="Muli" w:cs="Muli"/>
                <w:b/>
                <w:color w:val="FF126D"/>
                <w:sz w:val="20"/>
                <w:szCs w:val="20"/>
              </w:rPr>
            </w:pPr>
            <w:r>
              <w:rPr>
                <w:rFonts w:ascii="Muli" w:eastAsia="Muli" w:hAnsi="Muli" w:cs="Muli"/>
                <w:b/>
                <w:color w:val="FF126D"/>
                <w:sz w:val="20"/>
                <w:szCs w:val="20"/>
              </w:rPr>
              <w:t>DQ6L2 TE Investigate p. 205</w:t>
            </w:r>
          </w:p>
        </w:tc>
      </w:tr>
      <w:tr w:rsidR="003959B7" w14:paraId="6C76E48A" w14:textId="77777777">
        <w:trPr>
          <w:trHeight w:val="920"/>
        </w:trPr>
        <w:tc>
          <w:tcPr>
            <w:tcW w:w="9285" w:type="dxa"/>
          </w:tcPr>
          <w:p w14:paraId="61D67AED" w14:textId="77777777" w:rsidR="003959B7" w:rsidRDefault="00C5473B">
            <w:pPr>
              <w:pStyle w:val="normal0"/>
              <w:numPr>
                <w:ilvl w:val="0"/>
                <w:numId w:val="6"/>
              </w:numPr>
              <w:ind w:right="90"/>
              <w:contextualSpacing/>
              <w:rPr>
                <w:rFonts w:ascii="Muli" w:eastAsia="Muli" w:hAnsi="Muli" w:cs="Muli"/>
                <w:sz w:val="20"/>
                <w:szCs w:val="20"/>
              </w:rPr>
            </w:pPr>
            <w:r>
              <w:rPr>
                <w:rFonts w:ascii="Muli" w:eastAsia="Muli" w:hAnsi="Muli" w:cs="Muli"/>
                <w:sz w:val="20"/>
                <w:szCs w:val="20"/>
              </w:rPr>
              <w:lastRenderedPageBreak/>
              <w:t>Assessments are multimodal and support a variety of learning styles and abilities. They include:</w:t>
            </w:r>
          </w:p>
          <w:p w14:paraId="7C36B541" w14:textId="77777777" w:rsidR="003959B7" w:rsidRDefault="00C5473B">
            <w:pPr>
              <w:pStyle w:val="normal0"/>
              <w:numPr>
                <w:ilvl w:val="1"/>
                <w:numId w:val="6"/>
              </w:numPr>
              <w:ind w:right="90"/>
              <w:contextualSpacing/>
              <w:rPr>
                <w:rFonts w:ascii="Muli" w:eastAsia="Muli" w:hAnsi="Muli" w:cs="Muli"/>
                <w:sz w:val="20"/>
                <w:szCs w:val="20"/>
              </w:rPr>
            </w:pPr>
            <w:r>
              <w:rPr>
                <w:rFonts w:ascii="Muli" w:eastAsia="Muli" w:hAnsi="Muli" w:cs="Muli"/>
                <w:sz w:val="20"/>
                <w:szCs w:val="20"/>
              </w:rPr>
              <w:t xml:space="preserve">Performance Tasks (written, </w:t>
            </w:r>
            <w:r>
              <w:rPr>
                <w:rFonts w:ascii="Muli" w:eastAsia="Muli" w:hAnsi="Muli" w:cs="Muli"/>
                <w:b/>
                <w:color w:val="FF126D"/>
                <w:sz w:val="20"/>
                <w:szCs w:val="20"/>
              </w:rPr>
              <w:t>DQ2L6 TB p. 35</w:t>
            </w:r>
            <w:r>
              <w:rPr>
                <w:rFonts w:ascii="Muli" w:eastAsia="Muli" w:hAnsi="Muli" w:cs="Muli"/>
                <w:sz w:val="20"/>
                <w:szCs w:val="20"/>
              </w:rPr>
              <w:t>, DQ3L4 TB p. 62,</w:t>
            </w:r>
            <w:r>
              <w:rPr>
                <w:rFonts w:ascii="Muli" w:eastAsia="Muli" w:hAnsi="Muli" w:cs="Muli"/>
                <w:color w:val="FF0000"/>
                <w:sz w:val="20"/>
                <w:szCs w:val="20"/>
              </w:rPr>
              <w:t xml:space="preserve"> </w:t>
            </w:r>
            <w:r>
              <w:rPr>
                <w:rFonts w:ascii="Muli" w:eastAsia="Muli" w:hAnsi="Muli" w:cs="Muli"/>
                <w:sz w:val="20"/>
                <w:szCs w:val="20"/>
              </w:rPr>
              <w:t>DQ4L4 TB p. 84,</w:t>
            </w:r>
            <w:r>
              <w:rPr>
                <w:rFonts w:ascii="Muli" w:eastAsia="Muli" w:hAnsi="Muli" w:cs="Muli"/>
                <w:color w:val="FF0000"/>
                <w:sz w:val="20"/>
                <w:szCs w:val="20"/>
              </w:rPr>
              <w:t xml:space="preserve"> </w:t>
            </w:r>
            <w:r>
              <w:rPr>
                <w:rFonts w:ascii="Muli" w:eastAsia="Muli" w:hAnsi="Muli" w:cs="Muli"/>
                <w:b/>
                <w:color w:val="FF126D"/>
                <w:sz w:val="20"/>
                <w:szCs w:val="20"/>
              </w:rPr>
              <w:t>DQ5L4 TB p. 107</w:t>
            </w:r>
            <w:r>
              <w:rPr>
                <w:rFonts w:ascii="Muli" w:eastAsia="Muli" w:hAnsi="Muli" w:cs="Muli"/>
                <w:sz w:val="20"/>
                <w:szCs w:val="20"/>
              </w:rPr>
              <w:t xml:space="preserve">) </w:t>
            </w:r>
          </w:p>
          <w:p w14:paraId="59D472AD" w14:textId="77777777" w:rsidR="003959B7" w:rsidRDefault="003959B7">
            <w:pPr>
              <w:pStyle w:val="normal0"/>
              <w:ind w:left="180"/>
              <w:rPr>
                <w:rFonts w:ascii="Muli" w:eastAsia="Muli" w:hAnsi="Muli" w:cs="Muli"/>
                <w:b/>
                <w:color w:val="FF126D"/>
                <w:sz w:val="20"/>
                <w:szCs w:val="20"/>
              </w:rPr>
            </w:pPr>
          </w:p>
        </w:tc>
        <w:tc>
          <w:tcPr>
            <w:tcW w:w="4590" w:type="dxa"/>
          </w:tcPr>
          <w:p w14:paraId="46403EA0" w14:textId="77777777" w:rsidR="003959B7" w:rsidRDefault="00C5473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CDA7905" wp14:editId="54618C08">
                  <wp:extent cx="2319020" cy="265902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319020" cy="2659027"/>
                          </a:xfrm>
                          <a:prstGeom prst="rect">
                            <a:avLst/>
                          </a:prstGeom>
                          <a:ln/>
                        </pic:spPr>
                      </pic:pic>
                    </a:graphicData>
                  </a:graphic>
                </wp:inline>
              </w:drawing>
            </w:r>
          </w:p>
          <w:p w14:paraId="29AF498E"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DQ2L6 TB p. 35</w:t>
            </w:r>
          </w:p>
          <w:p w14:paraId="44A5A6BA" w14:textId="77777777" w:rsidR="003959B7" w:rsidRDefault="003959B7">
            <w:pPr>
              <w:pStyle w:val="normal0"/>
              <w:ind w:left="90" w:right="90"/>
              <w:rPr>
                <w:rFonts w:ascii="Muli" w:eastAsia="Muli" w:hAnsi="Muli" w:cs="Muli"/>
                <w:b/>
                <w:color w:val="FF126D"/>
                <w:sz w:val="20"/>
                <w:szCs w:val="20"/>
              </w:rPr>
            </w:pPr>
          </w:p>
          <w:p w14:paraId="21F9F4C1" w14:textId="77777777" w:rsidR="003959B7" w:rsidRDefault="00C5473B">
            <w:pPr>
              <w:pStyle w:val="normal0"/>
              <w:ind w:left="90" w:righ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D45F93B" wp14:editId="40771C9B">
                  <wp:extent cx="2587625" cy="3012220"/>
                  <wp:effectExtent l="0" t="0" r="0" b="0"/>
                  <wp:docPr id="3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2587625" cy="3012220"/>
                          </a:xfrm>
                          <a:prstGeom prst="rect">
                            <a:avLst/>
                          </a:prstGeom>
                          <a:ln/>
                        </pic:spPr>
                      </pic:pic>
                    </a:graphicData>
                  </a:graphic>
                </wp:inline>
              </w:drawing>
            </w:r>
          </w:p>
          <w:p w14:paraId="0D2F5906" w14:textId="77777777" w:rsidR="003959B7" w:rsidRDefault="00C5473B">
            <w:pPr>
              <w:pStyle w:val="normal0"/>
              <w:ind w:left="720" w:right="90" w:hanging="540"/>
              <w:rPr>
                <w:rFonts w:ascii="Muli" w:eastAsia="Muli" w:hAnsi="Muli" w:cs="Muli"/>
                <w:b/>
                <w:color w:val="FF126D"/>
                <w:sz w:val="20"/>
                <w:szCs w:val="20"/>
              </w:rPr>
            </w:pPr>
            <w:r>
              <w:rPr>
                <w:rFonts w:ascii="Muli" w:eastAsia="Muli" w:hAnsi="Muli" w:cs="Muli"/>
                <w:b/>
                <w:color w:val="FF126D"/>
                <w:sz w:val="20"/>
                <w:szCs w:val="20"/>
              </w:rPr>
              <w:t>DQ5L4 TB p. 107</w:t>
            </w:r>
          </w:p>
        </w:tc>
      </w:tr>
      <w:tr w:rsidR="003959B7" w14:paraId="7DF5DC43" w14:textId="77777777">
        <w:trPr>
          <w:trHeight w:val="6980"/>
        </w:trPr>
        <w:tc>
          <w:tcPr>
            <w:tcW w:w="9285" w:type="dxa"/>
          </w:tcPr>
          <w:p w14:paraId="282A662A" w14:textId="77777777" w:rsidR="003959B7" w:rsidRDefault="00C5473B">
            <w:pPr>
              <w:pStyle w:val="normal0"/>
              <w:numPr>
                <w:ilvl w:val="1"/>
                <w:numId w:val="6"/>
              </w:numPr>
              <w:ind w:right="90"/>
              <w:contextualSpacing/>
              <w:rPr>
                <w:rFonts w:ascii="Muli" w:eastAsia="Muli" w:hAnsi="Muli" w:cs="Muli"/>
                <w:sz w:val="20"/>
                <w:szCs w:val="20"/>
              </w:rPr>
            </w:pPr>
            <w:r>
              <w:rPr>
                <w:rFonts w:ascii="Muli" w:eastAsia="Muli" w:hAnsi="Muli" w:cs="Muli"/>
                <w:sz w:val="20"/>
                <w:szCs w:val="20"/>
              </w:rPr>
              <w:lastRenderedPageBreak/>
              <w:t xml:space="preserve">Formative Assessments (written, and drawn, </w:t>
            </w:r>
            <w:r>
              <w:rPr>
                <w:rFonts w:ascii="Muli" w:eastAsia="Muli" w:hAnsi="Muli" w:cs="Muli"/>
                <w:b/>
                <w:color w:val="FF126D"/>
                <w:sz w:val="20"/>
                <w:szCs w:val="20"/>
              </w:rPr>
              <w:t>DQ2L2 TE p. 50</w:t>
            </w:r>
            <w:r>
              <w:rPr>
                <w:rFonts w:ascii="Muli" w:eastAsia="Muli" w:hAnsi="Muli" w:cs="Muli"/>
                <w:color w:val="FF0000"/>
                <w:sz w:val="20"/>
                <w:szCs w:val="20"/>
              </w:rPr>
              <w:t xml:space="preserve">, </w:t>
            </w:r>
            <w:r>
              <w:rPr>
                <w:rFonts w:ascii="Muli" w:eastAsia="Muli" w:hAnsi="Muli" w:cs="Muli"/>
                <w:sz w:val="20"/>
                <w:szCs w:val="20"/>
              </w:rPr>
              <w:t xml:space="preserve">DQ2L5 TE p. 73, </w:t>
            </w:r>
            <w:r>
              <w:rPr>
                <w:rFonts w:ascii="Muli" w:eastAsia="Muli" w:hAnsi="Muli" w:cs="Muli"/>
                <w:b/>
                <w:color w:val="FF126D"/>
                <w:sz w:val="20"/>
                <w:szCs w:val="20"/>
              </w:rPr>
              <w:t>DQ4L2 TE p. 135</w:t>
            </w:r>
            <w:r>
              <w:rPr>
                <w:rFonts w:ascii="Muli" w:eastAsia="Muli" w:hAnsi="Muli" w:cs="Muli"/>
                <w:sz w:val="20"/>
                <w:szCs w:val="20"/>
              </w:rPr>
              <w:t>, DQ5L2 p. 167)</w:t>
            </w:r>
          </w:p>
          <w:p w14:paraId="7D9E1F9D" w14:textId="77777777" w:rsidR="003959B7" w:rsidRDefault="003959B7">
            <w:pPr>
              <w:pStyle w:val="normal0"/>
              <w:ind w:left="180"/>
              <w:rPr>
                <w:rFonts w:ascii="Muli" w:eastAsia="Muli" w:hAnsi="Muli" w:cs="Muli"/>
                <w:b/>
                <w:color w:val="FF126D"/>
                <w:sz w:val="20"/>
                <w:szCs w:val="20"/>
              </w:rPr>
            </w:pPr>
          </w:p>
        </w:tc>
        <w:tc>
          <w:tcPr>
            <w:tcW w:w="4590" w:type="dxa"/>
          </w:tcPr>
          <w:p w14:paraId="362FB961" w14:textId="77777777" w:rsidR="003959B7" w:rsidRDefault="00C5473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4914DC9" wp14:editId="4561EBF0">
                  <wp:extent cx="2749550" cy="1826820"/>
                  <wp:effectExtent l="12700" t="12700" r="12700" b="12700"/>
                  <wp:docPr id="6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3"/>
                          <a:srcRect/>
                          <a:stretch>
                            <a:fillRect/>
                          </a:stretch>
                        </pic:blipFill>
                        <pic:spPr>
                          <a:xfrm>
                            <a:off x="0" y="0"/>
                            <a:ext cx="2749550" cy="1826820"/>
                          </a:xfrm>
                          <a:prstGeom prst="rect">
                            <a:avLst/>
                          </a:prstGeom>
                          <a:ln w="12700">
                            <a:solidFill>
                              <a:srgbClr val="CCCCCC"/>
                            </a:solidFill>
                            <a:prstDash val="solid"/>
                          </a:ln>
                        </pic:spPr>
                      </pic:pic>
                    </a:graphicData>
                  </a:graphic>
                </wp:inline>
              </w:drawing>
            </w:r>
          </w:p>
          <w:p w14:paraId="5FE79514" w14:textId="77777777" w:rsidR="003959B7" w:rsidRDefault="00C5473B">
            <w:pPr>
              <w:pStyle w:val="normal0"/>
              <w:ind w:left="720" w:right="90" w:hanging="540"/>
              <w:rPr>
                <w:rFonts w:ascii="Muli" w:eastAsia="Muli" w:hAnsi="Muli" w:cs="Muli"/>
                <w:b/>
                <w:color w:val="FF126D"/>
                <w:sz w:val="20"/>
                <w:szCs w:val="20"/>
              </w:rPr>
            </w:pPr>
            <w:r>
              <w:rPr>
                <w:rFonts w:ascii="Muli" w:eastAsia="Muli" w:hAnsi="Muli" w:cs="Muli"/>
                <w:b/>
                <w:color w:val="FF126D"/>
                <w:sz w:val="20"/>
                <w:szCs w:val="20"/>
              </w:rPr>
              <w:t>DQ2L2 TE p. 50</w:t>
            </w:r>
          </w:p>
          <w:p w14:paraId="524F0E1C" w14:textId="77777777" w:rsidR="003959B7" w:rsidRDefault="003959B7">
            <w:pPr>
              <w:pStyle w:val="normal0"/>
              <w:ind w:left="720" w:right="90" w:hanging="540"/>
              <w:rPr>
                <w:rFonts w:ascii="Muli" w:eastAsia="Muli" w:hAnsi="Muli" w:cs="Muli"/>
                <w:b/>
                <w:color w:val="FF126D"/>
                <w:sz w:val="20"/>
                <w:szCs w:val="20"/>
              </w:rPr>
            </w:pPr>
          </w:p>
          <w:p w14:paraId="3DDD2CF3" w14:textId="77777777" w:rsidR="003959B7" w:rsidRDefault="00C5473B">
            <w:pPr>
              <w:pStyle w:val="normal0"/>
              <w:ind w:left="720" w:right="90" w:hanging="63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8A540CF" wp14:editId="56B4313F">
                  <wp:extent cx="2719070" cy="1843753"/>
                  <wp:effectExtent l="12700" t="12700" r="12700" b="12700"/>
                  <wp:docPr id="4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a:srcRect/>
                          <a:stretch>
                            <a:fillRect/>
                          </a:stretch>
                        </pic:blipFill>
                        <pic:spPr>
                          <a:xfrm>
                            <a:off x="0" y="0"/>
                            <a:ext cx="2719070" cy="1843753"/>
                          </a:xfrm>
                          <a:prstGeom prst="rect">
                            <a:avLst/>
                          </a:prstGeom>
                          <a:ln w="12700">
                            <a:solidFill>
                              <a:srgbClr val="D9D9D9"/>
                            </a:solidFill>
                            <a:prstDash val="solid"/>
                          </a:ln>
                        </pic:spPr>
                      </pic:pic>
                    </a:graphicData>
                  </a:graphic>
                </wp:inline>
              </w:drawing>
            </w:r>
          </w:p>
          <w:p w14:paraId="69124BE1" w14:textId="77777777" w:rsidR="003959B7" w:rsidRDefault="00C5473B">
            <w:pPr>
              <w:pStyle w:val="normal0"/>
              <w:ind w:left="90" w:right="90"/>
              <w:rPr>
                <w:rFonts w:ascii="Muli" w:eastAsia="Muli" w:hAnsi="Muli" w:cs="Muli"/>
                <w:b/>
                <w:sz w:val="20"/>
                <w:szCs w:val="20"/>
              </w:rPr>
            </w:pPr>
            <w:r>
              <w:rPr>
                <w:rFonts w:ascii="Muli" w:eastAsia="Muli" w:hAnsi="Muli" w:cs="Muli"/>
                <w:b/>
                <w:color w:val="FF126D"/>
                <w:sz w:val="20"/>
                <w:szCs w:val="20"/>
              </w:rPr>
              <w:t>DQ4L2 TE p. 135</w:t>
            </w:r>
          </w:p>
        </w:tc>
      </w:tr>
      <w:tr w:rsidR="003959B7" w14:paraId="5D703B95" w14:textId="77777777">
        <w:trPr>
          <w:trHeight w:val="7680"/>
        </w:trPr>
        <w:tc>
          <w:tcPr>
            <w:tcW w:w="9285" w:type="dxa"/>
          </w:tcPr>
          <w:p w14:paraId="5C0FFB43" w14:textId="77777777" w:rsidR="003959B7" w:rsidRDefault="00C5473B">
            <w:pPr>
              <w:pStyle w:val="normal0"/>
              <w:numPr>
                <w:ilvl w:val="1"/>
                <w:numId w:val="6"/>
              </w:numPr>
              <w:ind w:right="90"/>
              <w:contextualSpacing/>
              <w:rPr>
                <w:rFonts w:ascii="Muli" w:eastAsia="Muli" w:hAnsi="Muli" w:cs="Muli"/>
                <w:sz w:val="20"/>
                <w:szCs w:val="20"/>
              </w:rPr>
            </w:pPr>
            <w:r>
              <w:rPr>
                <w:rFonts w:ascii="Muli" w:eastAsia="Muli" w:hAnsi="Muli" w:cs="Muli"/>
                <w:sz w:val="20"/>
                <w:szCs w:val="20"/>
              </w:rPr>
              <w:lastRenderedPageBreak/>
              <w:t xml:space="preserve">Constructed response (written and drawn, </w:t>
            </w:r>
            <w:r>
              <w:rPr>
                <w:rFonts w:ascii="Muli" w:eastAsia="Muli" w:hAnsi="Muli" w:cs="Muli"/>
                <w:b/>
                <w:color w:val="FF126D"/>
                <w:sz w:val="20"/>
                <w:szCs w:val="20"/>
              </w:rPr>
              <w:t>DQ2L4 TB p. 32</w:t>
            </w:r>
            <w:r>
              <w:rPr>
                <w:rFonts w:ascii="Muli" w:eastAsia="Muli" w:hAnsi="Muli" w:cs="Muli"/>
                <w:sz w:val="20"/>
                <w:szCs w:val="20"/>
              </w:rPr>
              <w:t xml:space="preserve">, DQ4L3 TB p. 83, </w:t>
            </w:r>
            <w:r>
              <w:rPr>
                <w:rFonts w:ascii="Muli" w:eastAsia="Muli" w:hAnsi="Muli" w:cs="Muli"/>
                <w:b/>
                <w:color w:val="FF126D"/>
                <w:sz w:val="20"/>
                <w:szCs w:val="20"/>
              </w:rPr>
              <w:t>DQ5L2 TB p. 102</w:t>
            </w:r>
            <w:r>
              <w:rPr>
                <w:rFonts w:ascii="Muli" w:eastAsia="Muli" w:hAnsi="Muli" w:cs="Muli"/>
                <w:sz w:val="20"/>
                <w:szCs w:val="20"/>
              </w:rPr>
              <w:t xml:space="preserve">) </w:t>
            </w:r>
          </w:p>
        </w:tc>
        <w:tc>
          <w:tcPr>
            <w:tcW w:w="4590" w:type="dxa"/>
          </w:tcPr>
          <w:p w14:paraId="6C271C2B" w14:textId="77777777" w:rsidR="003959B7" w:rsidRDefault="00C5473B">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9D214E1" wp14:editId="6B77D127">
                  <wp:extent cx="2766695" cy="949899"/>
                  <wp:effectExtent l="0" t="0" r="0" b="0"/>
                  <wp:docPr id="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766695" cy="949899"/>
                          </a:xfrm>
                          <a:prstGeom prst="rect">
                            <a:avLst/>
                          </a:prstGeom>
                          <a:ln/>
                        </pic:spPr>
                      </pic:pic>
                    </a:graphicData>
                  </a:graphic>
                </wp:inline>
              </w:drawing>
            </w:r>
          </w:p>
          <w:p w14:paraId="33708DDD"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DQ2L4 TB p. 32</w:t>
            </w:r>
          </w:p>
          <w:p w14:paraId="7FFF3504" w14:textId="77777777" w:rsidR="003959B7" w:rsidRDefault="003959B7">
            <w:pPr>
              <w:pStyle w:val="normal0"/>
              <w:ind w:left="90" w:right="90"/>
              <w:rPr>
                <w:rFonts w:ascii="Muli" w:eastAsia="Muli" w:hAnsi="Muli" w:cs="Muli"/>
                <w:b/>
                <w:color w:val="FF126D"/>
                <w:sz w:val="20"/>
                <w:szCs w:val="20"/>
              </w:rPr>
            </w:pPr>
          </w:p>
          <w:p w14:paraId="7CA1E392" w14:textId="77777777" w:rsidR="003959B7" w:rsidRDefault="00C5473B">
            <w:pPr>
              <w:pStyle w:val="normal0"/>
              <w:ind w:left="90" w:righ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E9FC811" wp14:editId="02CB1A9B">
                  <wp:extent cx="2781300" cy="324612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b="8387"/>
                          <a:stretch>
                            <a:fillRect/>
                          </a:stretch>
                        </pic:blipFill>
                        <pic:spPr>
                          <a:xfrm>
                            <a:off x="0" y="0"/>
                            <a:ext cx="2781300" cy="3246120"/>
                          </a:xfrm>
                          <a:prstGeom prst="rect">
                            <a:avLst/>
                          </a:prstGeom>
                          <a:ln/>
                        </pic:spPr>
                      </pic:pic>
                    </a:graphicData>
                  </a:graphic>
                </wp:inline>
              </w:drawing>
            </w:r>
          </w:p>
          <w:p w14:paraId="69A44176"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DQ5L2 TB p. 102</w:t>
            </w:r>
          </w:p>
        </w:tc>
      </w:tr>
      <w:tr w:rsidR="003959B7" w14:paraId="22465039" w14:textId="77777777">
        <w:trPr>
          <w:trHeight w:val="5720"/>
        </w:trPr>
        <w:tc>
          <w:tcPr>
            <w:tcW w:w="9285" w:type="dxa"/>
          </w:tcPr>
          <w:p w14:paraId="35AABCAA" w14:textId="77777777" w:rsidR="003959B7" w:rsidRDefault="00C5473B">
            <w:pPr>
              <w:pStyle w:val="normal0"/>
              <w:numPr>
                <w:ilvl w:val="1"/>
                <w:numId w:val="6"/>
              </w:numPr>
              <w:ind w:right="90"/>
              <w:contextualSpacing/>
              <w:rPr>
                <w:rFonts w:ascii="Muli" w:eastAsia="Muli" w:hAnsi="Muli" w:cs="Muli"/>
                <w:sz w:val="20"/>
                <w:szCs w:val="20"/>
              </w:rPr>
            </w:pPr>
            <w:r>
              <w:rPr>
                <w:rFonts w:ascii="Muli" w:eastAsia="Muli" w:hAnsi="Muli" w:cs="Muli"/>
                <w:sz w:val="20"/>
                <w:szCs w:val="20"/>
              </w:rPr>
              <w:lastRenderedPageBreak/>
              <w:t>Self- and peer assessment (</w:t>
            </w:r>
            <w:r>
              <w:rPr>
                <w:rFonts w:ascii="Muli" w:eastAsia="Muli" w:hAnsi="Muli" w:cs="Muli"/>
                <w:b/>
                <w:color w:val="FF126D"/>
                <w:sz w:val="20"/>
                <w:szCs w:val="20"/>
              </w:rPr>
              <w:t>DQ2L6 TE Reflect p. 79</w:t>
            </w:r>
            <w:r>
              <w:rPr>
                <w:rFonts w:ascii="Muli" w:eastAsia="Muli" w:hAnsi="Muli" w:cs="Muli"/>
                <w:color w:val="434343"/>
                <w:sz w:val="20"/>
                <w:szCs w:val="20"/>
              </w:rPr>
              <w:t>,</w:t>
            </w:r>
            <w:r>
              <w:rPr>
                <w:rFonts w:ascii="Muli" w:eastAsia="Muli" w:hAnsi="Muli" w:cs="Muli"/>
                <w:color w:val="FF0000"/>
                <w:sz w:val="20"/>
                <w:szCs w:val="20"/>
              </w:rPr>
              <w:t xml:space="preserve"> </w:t>
            </w:r>
            <w:r>
              <w:rPr>
                <w:rFonts w:ascii="Muli" w:eastAsia="Muli" w:hAnsi="Muli" w:cs="Muli"/>
                <w:b/>
                <w:color w:val="FF126D"/>
                <w:sz w:val="20"/>
                <w:szCs w:val="20"/>
              </w:rPr>
              <w:t>DQ5L4 TB p. 112</w:t>
            </w:r>
            <w:r>
              <w:rPr>
                <w:rFonts w:ascii="Muli" w:eastAsia="Muli" w:hAnsi="Muli" w:cs="Muli"/>
                <w:sz w:val="20"/>
                <w:szCs w:val="20"/>
              </w:rPr>
              <w:t xml:space="preserve">) </w:t>
            </w:r>
          </w:p>
          <w:p w14:paraId="7214910F" w14:textId="77777777" w:rsidR="003959B7" w:rsidRDefault="003959B7">
            <w:pPr>
              <w:pStyle w:val="normal0"/>
              <w:ind w:left="180"/>
              <w:rPr>
                <w:rFonts w:ascii="Muli" w:eastAsia="Muli" w:hAnsi="Muli" w:cs="Muli"/>
                <w:b/>
                <w:color w:val="FF126D"/>
                <w:sz w:val="20"/>
                <w:szCs w:val="20"/>
              </w:rPr>
            </w:pPr>
          </w:p>
        </w:tc>
        <w:tc>
          <w:tcPr>
            <w:tcW w:w="4590" w:type="dxa"/>
          </w:tcPr>
          <w:p w14:paraId="1A0DDB59"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44C86B79" wp14:editId="57CFDF85">
                  <wp:extent cx="2743835" cy="945511"/>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2743835" cy="945511"/>
                          </a:xfrm>
                          <a:prstGeom prst="rect">
                            <a:avLst/>
                          </a:prstGeom>
                          <a:ln/>
                        </pic:spPr>
                      </pic:pic>
                    </a:graphicData>
                  </a:graphic>
                </wp:inline>
              </w:drawing>
            </w:r>
          </w:p>
          <w:p w14:paraId="20A49237"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DQ2L6 TE Reflect p. 79</w:t>
            </w:r>
          </w:p>
          <w:p w14:paraId="648A1A40" w14:textId="77777777" w:rsidR="003959B7" w:rsidRDefault="003959B7">
            <w:pPr>
              <w:pStyle w:val="normal0"/>
              <w:ind w:left="90" w:right="90"/>
              <w:rPr>
                <w:rFonts w:ascii="Muli" w:eastAsia="Muli" w:hAnsi="Muli" w:cs="Muli"/>
                <w:b/>
                <w:color w:val="FF126D"/>
                <w:sz w:val="20"/>
                <w:szCs w:val="20"/>
              </w:rPr>
            </w:pPr>
          </w:p>
          <w:p w14:paraId="211DF406" w14:textId="77777777" w:rsidR="003959B7" w:rsidRDefault="00C5473B">
            <w:pPr>
              <w:pStyle w:val="normal0"/>
              <w:ind w:left="90" w:righ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CBEC4A3" wp14:editId="1D8A7A75">
                  <wp:extent cx="2797175" cy="2004642"/>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l="2497" r="1155"/>
                          <a:stretch>
                            <a:fillRect/>
                          </a:stretch>
                        </pic:blipFill>
                        <pic:spPr>
                          <a:xfrm>
                            <a:off x="0" y="0"/>
                            <a:ext cx="2797175" cy="2004642"/>
                          </a:xfrm>
                          <a:prstGeom prst="rect">
                            <a:avLst/>
                          </a:prstGeom>
                          <a:ln/>
                        </pic:spPr>
                      </pic:pic>
                    </a:graphicData>
                  </a:graphic>
                </wp:inline>
              </w:drawing>
            </w:r>
          </w:p>
          <w:p w14:paraId="15275DCD"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DQ5L4 TB p. 112</w:t>
            </w:r>
          </w:p>
        </w:tc>
      </w:tr>
      <w:tr w:rsidR="003959B7" w14:paraId="27886845" w14:textId="77777777">
        <w:trPr>
          <w:trHeight w:val="4220"/>
        </w:trPr>
        <w:tc>
          <w:tcPr>
            <w:tcW w:w="9285" w:type="dxa"/>
          </w:tcPr>
          <w:p w14:paraId="7E8070DF" w14:textId="77777777" w:rsidR="003959B7" w:rsidRDefault="00C5473B">
            <w:pPr>
              <w:pStyle w:val="normal0"/>
              <w:numPr>
                <w:ilvl w:val="1"/>
                <w:numId w:val="6"/>
              </w:numPr>
              <w:ind w:right="90"/>
              <w:contextualSpacing/>
              <w:rPr>
                <w:rFonts w:ascii="Muli" w:eastAsia="Muli" w:hAnsi="Muli" w:cs="Muli"/>
                <w:sz w:val="20"/>
                <w:szCs w:val="20"/>
              </w:rPr>
            </w:pPr>
            <w:r>
              <w:rPr>
                <w:rFonts w:ascii="Muli" w:eastAsia="Muli" w:hAnsi="Muli" w:cs="Muli"/>
                <w:b/>
                <w:color w:val="FF126D"/>
                <w:sz w:val="20"/>
                <w:szCs w:val="20"/>
              </w:rPr>
              <w:t>Multiple choice (digital, DQ6)</w:t>
            </w:r>
            <w:r>
              <w:rPr>
                <w:rFonts w:ascii="Muli" w:eastAsia="Muli" w:hAnsi="Muli" w:cs="Muli"/>
                <w:sz w:val="20"/>
                <w:szCs w:val="20"/>
              </w:rPr>
              <w:t>.</w:t>
            </w:r>
          </w:p>
        </w:tc>
        <w:tc>
          <w:tcPr>
            <w:tcW w:w="4590" w:type="dxa"/>
          </w:tcPr>
          <w:p w14:paraId="207716DF"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64889ACA" wp14:editId="67A731BD">
                  <wp:extent cx="2570480" cy="2393527"/>
                  <wp:effectExtent l="12700" t="12700" r="12700" b="127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2570480" cy="2393527"/>
                          </a:xfrm>
                          <a:prstGeom prst="rect">
                            <a:avLst/>
                          </a:prstGeom>
                          <a:ln w="12700">
                            <a:solidFill>
                              <a:srgbClr val="D9D9D9"/>
                            </a:solidFill>
                            <a:prstDash val="solid"/>
                          </a:ln>
                        </pic:spPr>
                      </pic:pic>
                    </a:graphicData>
                  </a:graphic>
                </wp:inline>
              </w:drawing>
            </w:r>
          </w:p>
          <w:p w14:paraId="13B5263B" w14:textId="77777777" w:rsidR="003959B7" w:rsidRDefault="00C5473B">
            <w:pPr>
              <w:pStyle w:val="normal0"/>
              <w:ind w:left="180" w:right="90" w:hanging="90"/>
              <w:rPr>
                <w:rFonts w:ascii="Muli" w:eastAsia="Muli" w:hAnsi="Muli" w:cs="Muli"/>
                <w:b/>
                <w:sz w:val="20"/>
                <w:szCs w:val="20"/>
              </w:rPr>
            </w:pPr>
            <w:r>
              <w:rPr>
                <w:rFonts w:ascii="Muli" w:eastAsia="Muli" w:hAnsi="Muli" w:cs="Muli"/>
                <w:b/>
                <w:color w:val="FF126D"/>
                <w:sz w:val="20"/>
                <w:szCs w:val="20"/>
              </w:rPr>
              <w:t>Multiple choice (digital, DQ6)</w:t>
            </w:r>
          </w:p>
        </w:tc>
      </w:tr>
      <w:tr w:rsidR="003959B7" w14:paraId="2922F489" w14:textId="77777777">
        <w:trPr>
          <w:trHeight w:val="2380"/>
        </w:trPr>
        <w:tc>
          <w:tcPr>
            <w:tcW w:w="9285" w:type="dxa"/>
          </w:tcPr>
          <w:p w14:paraId="3714F9CE" w14:textId="77777777" w:rsidR="003959B7" w:rsidRDefault="00C5473B">
            <w:pPr>
              <w:pStyle w:val="normal0"/>
              <w:numPr>
                <w:ilvl w:val="0"/>
                <w:numId w:val="6"/>
              </w:numPr>
              <w:ind w:right="90"/>
              <w:contextualSpacing/>
              <w:rPr>
                <w:rFonts w:ascii="Muli" w:eastAsia="Muli" w:hAnsi="Muli" w:cs="Muli"/>
                <w:sz w:val="20"/>
                <w:szCs w:val="20"/>
              </w:rPr>
            </w:pPr>
            <w:r>
              <w:rPr>
                <w:rFonts w:ascii="Muli" w:eastAsia="Muli" w:hAnsi="Muli" w:cs="Muli"/>
                <w:sz w:val="20"/>
                <w:szCs w:val="20"/>
              </w:rPr>
              <w:lastRenderedPageBreak/>
              <w:t>Text-to-speech functionality is available for all assets.</w:t>
            </w:r>
          </w:p>
          <w:p w14:paraId="3AC02C67" w14:textId="77777777" w:rsidR="003959B7" w:rsidRDefault="00C5473B">
            <w:pPr>
              <w:pStyle w:val="normal0"/>
              <w:numPr>
                <w:ilvl w:val="0"/>
                <w:numId w:val="6"/>
              </w:numPr>
              <w:ind w:right="90"/>
              <w:contextualSpacing/>
              <w:rPr>
                <w:rFonts w:ascii="Muli" w:eastAsia="Muli" w:hAnsi="Muli" w:cs="Muli"/>
                <w:sz w:val="20"/>
                <w:szCs w:val="20"/>
              </w:rPr>
            </w:pPr>
            <w:r>
              <w:rPr>
                <w:rFonts w:ascii="Muli" w:eastAsia="Muli" w:hAnsi="Muli" w:cs="Muli"/>
                <w:sz w:val="20"/>
                <w:szCs w:val="20"/>
              </w:rPr>
              <w:t xml:space="preserve">Class discussions are supported with suggested question scaffolds and sample answers (for example, </w:t>
            </w:r>
            <w:r>
              <w:rPr>
                <w:rFonts w:ascii="Muli" w:eastAsia="Muli" w:hAnsi="Muli" w:cs="Muli"/>
                <w:b/>
                <w:color w:val="FF126D"/>
                <w:sz w:val="20"/>
                <w:szCs w:val="20"/>
              </w:rPr>
              <w:t>DQ2L4 TE Report, p. 62</w:t>
            </w:r>
            <w:r>
              <w:rPr>
                <w:rFonts w:ascii="Muli" w:eastAsia="Muli" w:hAnsi="Muli" w:cs="Muli"/>
                <w:sz w:val="20"/>
                <w:szCs w:val="20"/>
              </w:rPr>
              <w:t xml:space="preserve">). </w:t>
            </w:r>
          </w:p>
        </w:tc>
        <w:tc>
          <w:tcPr>
            <w:tcW w:w="4590" w:type="dxa"/>
          </w:tcPr>
          <w:p w14:paraId="797439B7" w14:textId="77777777" w:rsidR="003959B7" w:rsidRDefault="00C5473B">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142C1141" wp14:editId="799EAC2C">
                  <wp:extent cx="2734310" cy="1165444"/>
                  <wp:effectExtent l="12700" t="12700" r="12700" b="1270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r="2286" b="5942"/>
                          <a:stretch>
                            <a:fillRect/>
                          </a:stretch>
                        </pic:blipFill>
                        <pic:spPr>
                          <a:xfrm>
                            <a:off x="0" y="0"/>
                            <a:ext cx="2734310" cy="1165444"/>
                          </a:xfrm>
                          <a:prstGeom prst="rect">
                            <a:avLst/>
                          </a:prstGeom>
                          <a:ln w="12700">
                            <a:solidFill>
                              <a:srgbClr val="D9D9D9"/>
                            </a:solidFill>
                            <a:prstDash val="solid"/>
                          </a:ln>
                        </pic:spPr>
                      </pic:pic>
                    </a:graphicData>
                  </a:graphic>
                </wp:inline>
              </w:drawing>
            </w:r>
          </w:p>
          <w:p w14:paraId="7AD71A90" w14:textId="77777777" w:rsidR="003959B7" w:rsidRDefault="00C5473B">
            <w:pPr>
              <w:pStyle w:val="normal0"/>
              <w:ind w:left="90" w:right="90"/>
              <w:rPr>
                <w:rFonts w:ascii="Muli" w:eastAsia="Muli" w:hAnsi="Muli" w:cs="Muli"/>
                <w:b/>
                <w:sz w:val="20"/>
                <w:szCs w:val="20"/>
              </w:rPr>
            </w:pPr>
            <w:r>
              <w:rPr>
                <w:rFonts w:ascii="Muli" w:eastAsia="Muli" w:hAnsi="Muli" w:cs="Muli"/>
                <w:b/>
                <w:color w:val="FF126D"/>
                <w:sz w:val="20"/>
                <w:szCs w:val="20"/>
              </w:rPr>
              <w:t>DQ2L4 TE Report, p. 62</w:t>
            </w:r>
          </w:p>
        </w:tc>
      </w:tr>
      <w:tr w:rsidR="003959B7" w14:paraId="0B3514D9" w14:textId="77777777" w:rsidTr="00AF6C9D">
        <w:trPr>
          <w:trHeight w:val="7378"/>
        </w:trPr>
        <w:tc>
          <w:tcPr>
            <w:tcW w:w="9285" w:type="dxa"/>
          </w:tcPr>
          <w:p w14:paraId="3D0BE6BD" w14:textId="77777777" w:rsidR="003959B7" w:rsidRDefault="00C5473B">
            <w:pPr>
              <w:pStyle w:val="normal0"/>
              <w:numPr>
                <w:ilvl w:val="0"/>
                <w:numId w:val="6"/>
              </w:numPr>
              <w:ind w:right="90"/>
              <w:contextualSpacing/>
              <w:rPr>
                <w:rFonts w:ascii="Muli" w:eastAsia="Muli" w:hAnsi="Muli" w:cs="Muli"/>
                <w:sz w:val="20"/>
                <w:szCs w:val="20"/>
              </w:rPr>
            </w:pPr>
            <w:r>
              <w:rPr>
                <w:rFonts w:ascii="Muli" w:eastAsia="Muli" w:hAnsi="Muli" w:cs="Muli"/>
                <w:sz w:val="20"/>
                <w:szCs w:val="20"/>
              </w:rPr>
              <w:t xml:space="preserve">The Reflect of most lessons integrates formative assessment opportunities for the students to reflect on what they have learned and how they used the three dimensions to grow their understanding of the module phenomena and problems (for example, </w:t>
            </w:r>
            <w:r>
              <w:rPr>
                <w:rFonts w:ascii="Muli" w:eastAsia="Muli" w:hAnsi="Muli" w:cs="Muli"/>
                <w:b/>
                <w:color w:val="FF126D"/>
                <w:sz w:val="20"/>
                <w:szCs w:val="20"/>
              </w:rPr>
              <w:t>DQ2L2 TE Reflect p. 50</w:t>
            </w:r>
            <w:r>
              <w:rPr>
                <w:rFonts w:ascii="Muli" w:eastAsia="Muli" w:hAnsi="Muli" w:cs="Muli"/>
                <w:color w:val="FF0000"/>
                <w:sz w:val="20"/>
                <w:szCs w:val="20"/>
              </w:rPr>
              <w:t>,</w:t>
            </w:r>
            <w:r>
              <w:rPr>
                <w:rFonts w:ascii="Muli" w:eastAsia="Muli" w:hAnsi="Muli" w:cs="Muli"/>
                <w:b/>
                <w:color w:val="FF126D"/>
                <w:sz w:val="20"/>
                <w:szCs w:val="20"/>
              </w:rPr>
              <w:t xml:space="preserve"> DQ4L2 TE Reflect p. 135</w:t>
            </w:r>
            <w:r>
              <w:rPr>
                <w:rFonts w:ascii="Muli" w:eastAsia="Muli" w:hAnsi="Muli" w:cs="Muli"/>
                <w:sz w:val="20"/>
                <w:szCs w:val="20"/>
              </w:rPr>
              <w:t>).</w:t>
            </w:r>
          </w:p>
        </w:tc>
        <w:tc>
          <w:tcPr>
            <w:tcW w:w="4590" w:type="dxa"/>
          </w:tcPr>
          <w:p w14:paraId="0C9FB8A1" w14:textId="77777777" w:rsidR="003959B7" w:rsidRDefault="00C5473B">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74011B7" wp14:editId="4FF46B87">
                  <wp:extent cx="2711450" cy="1813619"/>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2711450" cy="1813619"/>
                          </a:xfrm>
                          <a:prstGeom prst="rect">
                            <a:avLst/>
                          </a:prstGeom>
                          <a:ln w="12700">
                            <a:solidFill>
                              <a:srgbClr val="D9D9D9"/>
                            </a:solidFill>
                            <a:prstDash val="solid"/>
                          </a:ln>
                        </pic:spPr>
                      </pic:pic>
                    </a:graphicData>
                  </a:graphic>
                </wp:inline>
              </w:drawing>
            </w:r>
          </w:p>
          <w:p w14:paraId="667AB567"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DQ2L2 TE Reflect p. 50</w:t>
            </w:r>
          </w:p>
          <w:p w14:paraId="0C8E241C" w14:textId="77777777" w:rsidR="003959B7" w:rsidRDefault="003959B7">
            <w:pPr>
              <w:pStyle w:val="normal0"/>
              <w:ind w:left="90" w:right="90"/>
              <w:rPr>
                <w:rFonts w:ascii="Muli" w:eastAsia="Muli" w:hAnsi="Muli" w:cs="Muli"/>
                <w:b/>
                <w:color w:val="FF126D"/>
                <w:sz w:val="20"/>
                <w:szCs w:val="20"/>
              </w:rPr>
            </w:pPr>
          </w:p>
          <w:p w14:paraId="440C0B08" w14:textId="77777777" w:rsidR="003959B7" w:rsidRDefault="00C5473B">
            <w:pPr>
              <w:pStyle w:val="normal0"/>
              <w:ind w:left="90" w:righ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ECDEFE9" wp14:editId="6D799DA0">
                  <wp:extent cx="2719070" cy="1848968"/>
                  <wp:effectExtent l="12700" t="12700" r="12700" b="1270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4"/>
                          <a:srcRect/>
                          <a:stretch>
                            <a:fillRect/>
                          </a:stretch>
                        </pic:blipFill>
                        <pic:spPr>
                          <a:xfrm>
                            <a:off x="0" y="0"/>
                            <a:ext cx="2719070" cy="1848968"/>
                          </a:xfrm>
                          <a:prstGeom prst="rect">
                            <a:avLst/>
                          </a:prstGeom>
                          <a:ln w="12700">
                            <a:solidFill>
                              <a:srgbClr val="D9D9D9"/>
                            </a:solidFill>
                            <a:prstDash val="solid"/>
                          </a:ln>
                        </pic:spPr>
                      </pic:pic>
                    </a:graphicData>
                  </a:graphic>
                </wp:inline>
              </w:drawing>
            </w:r>
          </w:p>
          <w:p w14:paraId="1D1008FA"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DQ4L2 TE Reflect p. 135</w:t>
            </w:r>
          </w:p>
        </w:tc>
      </w:tr>
      <w:tr w:rsidR="003959B7" w14:paraId="19489DFB" w14:textId="77777777">
        <w:trPr>
          <w:trHeight w:val="920"/>
        </w:trPr>
        <w:tc>
          <w:tcPr>
            <w:tcW w:w="13875" w:type="dxa"/>
            <w:gridSpan w:val="2"/>
            <w:shd w:val="clear" w:color="auto" w:fill="D9D9D9"/>
          </w:tcPr>
          <w:p w14:paraId="0E6D7AE3" w14:textId="77777777" w:rsidR="003959B7" w:rsidRDefault="00C5473B">
            <w:pPr>
              <w:pStyle w:val="normal0"/>
              <w:ind w:left="180"/>
              <w:rPr>
                <w:rFonts w:ascii="Muli" w:eastAsia="Muli" w:hAnsi="Muli" w:cs="Muli"/>
                <w:b/>
                <w:sz w:val="20"/>
                <w:szCs w:val="20"/>
              </w:rPr>
            </w:pPr>
            <w:r>
              <w:rPr>
                <w:rFonts w:ascii="Muli" w:eastAsia="Muli" w:hAnsi="Muli" w:cs="Muli"/>
                <w:b/>
                <w:sz w:val="20"/>
                <w:szCs w:val="20"/>
              </w:rPr>
              <w:lastRenderedPageBreak/>
              <w:t xml:space="preserve">SP3. Student Progress Over Time. </w:t>
            </w:r>
          </w:p>
          <w:p w14:paraId="191016D5" w14:textId="77777777" w:rsidR="003959B7" w:rsidRDefault="00C5473B">
            <w:pPr>
              <w:pStyle w:val="normal0"/>
              <w:ind w:left="180"/>
              <w:rPr>
                <w:rFonts w:ascii="Muli" w:eastAsia="Muli" w:hAnsi="Muli" w:cs="Muli"/>
                <w:sz w:val="20"/>
                <w:szCs w:val="20"/>
              </w:rPr>
            </w:pPr>
            <w:r>
              <w:rPr>
                <w:rFonts w:ascii="Muli" w:eastAsia="Muli" w:hAnsi="Muli" w:cs="Muli"/>
                <w:sz w:val="20"/>
                <w:szCs w:val="20"/>
              </w:rPr>
              <w:t>The module provides strong guidance for using Formative and Summative Assessments to monitor student progress over time. Examples include support for capturing student growth, interpreting results, adjusting instruction and planning for future instruction, providing feedback to students, and prompting students to consider what and how they’ve learned.</w:t>
            </w:r>
          </w:p>
        </w:tc>
      </w:tr>
      <w:tr w:rsidR="003959B7" w14:paraId="29FA9020" w14:textId="77777777" w:rsidTr="00AF6C9D">
        <w:trPr>
          <w:trHeight w:val="8438"/>
        </w:trPr>
        <w:tc>
          <w:tcPr>
            <w:tcW w:w="9285" w:type="dxa"/>
          </w:tcPr>
          <w:p w14:paraId="11E16D4B" w14:textId="77777777" w:rsidR="003959B7" w:rsidRDefault="003959B7">
            <w:pPr>
              <w:pStyle w:val="normal0"/>
              <w:ind w:left="180"/>
              <w:rPr>
                <w:rFonts w:ascii="Muli" w:eastAsia="Muli" w:hAnsi="Muli" w:cs="Muli"/>
                <w:b/>
                <w:color w:val="FF126D"/>
                <w:sz w:val="20"/>
                <w:szCs w:val="20"/>
              </w:rPr>
            </w:pPr>
          </w:p>
          <w:p w14:paraId="102A9830" w14:textId="77777777" w:rsidR="003959B7" w:rsidRDefault="00C5473B">
            <w:pPr>
              <w:pStyle w:val="normal0"/>
              <w:ind w:left="180"/>
              <w:rPr>
                <w:rFonts w:ascii="Muli" w:eastAsia="Muli" w:hAnsi="Muli" w:cs="Muli"/>
                <w:color w:val="FF126D"/>
                <w:sz w:val="20"/>
                <w:szCs w:val="20"/>
              </w:rPr>
            </w:pPr>
            <w:r>
              <w:rPr>
                <w:rFonts w:ascii="Muli" w:eastAsia="Muli" w:hAnsi="Muli" w:cs="Muli"/>
                <w:b/>
                <w:color w:val="FF126D"/>
                <w:sz w:val="20"/>
                <w:szCs w:val="20"/>
              </w:rPr>
              <w:t>Evidence</w:t>
            </w:r>
          </w:p>
          <w:p w14:paraId="4D1D16EB" w14:textId="77777777" w:rsidR="003959B7" w:rsidRDefault="00C5473B">
            <w:pPr>
              <w:pStyle w:val="normal0"/>
              <w:numPr>
                <w:ilvl w:val="0"/>
                <w:numId w:val="23"/>
              </w:numPr>
              <w:ind w:right="90"/>
              <w:contextualSpacing/>
              <w:rPr>
                <w:rFonts w:ascii="Muli" w:eastAsia="Muli" w:hAnsi="Muli" w:cs="Muli"/>
                <w:sz w:val="20"/>
                <w:szCs w:val="20"/>
              </w:rPr>
            </w:pPr>
            <w:r>
              <w:rPr>
                <w:rFonts w:ascii="Muli" w:eastAsia="Muli" w:hAnsi="Muli" w:cs="Muli"/>
                <w:sz w:val="20"/>
                <w:szCs w:val="20"/>
              </w:rPr>
              <w:t xml:space="preserve">Teachers can elect to administer the Pre-Explorations, Benchmark Assessment, and Multiple Choice assessments digitally or in print. Answers are tagged to specific dimensions and, if administered digitally, teachers will be able to track student growth in level of attainment of the dimensions over time and tailor instruction accordingly. Teachers can also provide students with feedback digitally. Teachers can opt to add the scores manually for all non-digital assessment tasks. </w:t>
            </w:r>
          </w:p>
          <w:p w14:paraId="70051906" w14:textId="77777777" w:rsidR="003959B7" w:rsidRDefault="00C5473B">
            <w:pPr>
              <w:pStyle w:val="normal0"/>
              <w:numPr>
                <w:ilvl w:val="0"/>
                <w:numId w:val="23"/>
              </w:numPr>
              <w:ind w:right="90"/>
              <w:contextualSpacing/>
              <w:rPr>
                <w:rFonts w:ascii="Muli" w:eastAsia="Muli" w:hAnsi="Muli" w:cs="Muli"/>
                <w:sz w:val="20"/>
                <w:szCs w:val="20"/>
              </w:rPr>
            </w:pPr>
            <w:r>
              <w:rPr>
                <w:rFonts w:ascii="Muli" w:eastAsia="Muli" w:hAnsi="Muli" w:cs="Muli"/>
                <w:sz w:val="20"/>
                <w:szCs w:val="20"/>
              </w:rPr>
              <w:t xml:space="preserve">Downloadable Progress Trackers support teachers to track students' mastery of their misconceptions as assessed in the Pre-Explorations as well as the results of formative assessments of the three dimensions across the DQs (for example, the Energy in Ecosystems Progress Tracker used in DQ4). Guidance for teachers on how to adjust instruction for students needing more support to clear up their misconceptions is provided at point of use in the instructions (for example, </w:t>
            </w:r>
            <w:r>
              <w:rPr>
                <w:rFonts w:ascii="Muli" w:eastAsia="Muli" w:hAnsi="Muli" w:cs="Muli"/>
                <w:b/>
                <w:color w:val="FF126D"/>
                <w:sz w:val="20"/>
                <w:szCs w:val="20"/>
              </w:rPr>
              <w:t>DQ2L4 TE Report p. 62</w:t>
            </w:r>
            <w:r>
              <w:rPr>
                <w:rFonts w:ascii="Muli" w:eastAsia="Muli" w:hAnsi="Muli" w:cs="Muli"/>
                <w:color w:val="FF0000"/>
                <w:sz w:val="20"/>
                <w:szCs w:val="20"/>
              </w:rPr>
              <w:t xml:space="preserve">, </w:t>
            </w:r>
            <w:r>
              <w:rPr>
                <w:rFonts w:ascii="Muli" w:eastAsia="Muli" w:hAnsi="Muli" w:cs="Muli"/>
                <w:sz w:val="20"/>
                <w:szCs w:val="20"/>
              </w:rPr>
              <w:t>DQ3L1 TE Report p. 97,</w:t>
            </w:r>
            <w:r>
              <w:rPr>
                <w:rFonts w:ascii="Muli" w:eastAsia="Muli" w:hAnsi="Muli" w:cs="Muli"/>
                <w:b/>
                <w:sz w:val="20"/>
                <w:szCs w:val="20"/>
              </w:rPr>
              <w:t xml:space="preserve"> </w:t>
            </w:r>
            <w:r>
              <w:rPr>
                <w:rFonts w:ascii="Muli" w:eastAsia="Muli" w:hAnsi="Muli" w:cs="Muli"/>
                <w:sz w:val="20"/>
                <w:szCs w:val="20"/>
              </w:rPr>
              <w:t>and</w:t>
            </w:r>
            <w:r>
              <w:rPr>
                <w:rFonts w:ascii="Muli" w:eastAsia="Muli" w:hAnsi="Muli" w:cs="Muli"/>
                <w:b/>
                <w:sz w:val="20"/>
                <w:szCs w:val="20"/>
              </w:rPr>
              <w:t xml:space="preserve"> </w:t>
            </w:r>
            <w:r>
              <w:rPr>
                <w:rFonts w:ascii="Muli" w:eastAsia="Muli" w:hAnsi="Muli" w:cs="Muli"/>
                <w:b/>
                <w:color w:val="FF126D"/>
                <w:sz w:val="20"/>
                <w:szCs w:val="20"/>
              </w:rPr>
              <w:t>DQ4L3 TE Investigate p. 142</w:t>
            </w:r>
            <w:r>
              <w:rPr>
                <w:rFonts w:ascii="Muli" w:eastAsia="Muli" w:hAnsi="Muli" w:cs="Muli"/>
                <w:sz w:val="20"/>
                <w:szCs w:val="20"/>
              </w:rPr>
              <w:t>).</w:t>
            </w:r>
          </w:p>
        </w:tc>
        <w:tc>
          <w:tcPr>
            <w:tcW w:w="4590" w:type="dxa"/>
          </w:tcPr>
          <w:p w14:paraId="0E9DEB5A" w14:textId="77777777" w:rsidR="003959B7" w:rsidRDefault="00C5473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DA0F730" wp14:editId="5337D436">
                  <wp:extent cx="2882900" cy="1301955"/>
                  <wp:effectExtent l="12700" t="12700" r="12700" b="12700"/>
                  <wp:docPr id="6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r="1751"/>
                          <a:stretch>
                            <a:fillRect/>
                          </a:stretch>
                        </pic:blipFill>
                        <pic:spPr>
                          <a:xfrm>
                            <a:off x="0" y="0"/>
                            <a:ext cx="2882900" cy="1301955"/>
                          </a:xfrm>
                          <a:prstGeom prst="rect">
                            <a:avLst/>
                          </a:prstGeom>
                          <a:ln w="12700">
                            <a:solidFill>
                              <a:srgbClr val="CCCCCC"/>
                            </a:solidFill>
                            <a:prstDash val="solid"/>
                          </a:ln>
                        </pic:spPr>
                      </pic:pic>
                    </a:graphicData>
                  </a:graphic>
                </wp:inline>
              </w:drawing>
            </w:r>
          </w:p>
          <w:p w14:paraId="5B5A8C06" w14:textId="77777777" w:rsidR="003959B7" w:rsidRDefault="00C5473B">
            <w:pPr>
              <w:pStyle w:val="normal0"/>
              <w:ind w:left="90" w:right="90"/>
              <w:rPr>
                <w:rFonts w:ascii="Muli" w:eastAsia="Muli" w:hAnsi="Muli" w:cs="Muli"/>
                <w:b/>
                <w:color w:val="FF126D"/>
                <w:sz w:val="20"/>
                <w:szCs w:val="20"/>
              </w:rPr>
            </w:pPr>
            <w:r>
              <w:rPr>
                <w:rFonts w:ascii="Muli" w:eastAsia="Muli" w:hAnsi="Muli" w:cs="Muli"/>
                <w:b/>
                <w:color w:val="FF126D"/>
                <w:sz w:val="20"/>
                <w:szCs w:val="20"/>
              </w:rPr>
              <w:t>DQ2L4 TE Report p. 62</w:t>
            </w:r>
          </w:p>
          <w:p w14:paraId="3BBAA217" w14:textId="77777777" w:rsidR="003959B7" w:rsidRDefault="003959B7">
            <w:pPr>
              <w:pStyle w:val="normal0"/>
              <w:ind w:left="90" w:right="90"/>
              <w:rPr>
                <w:rFonts w:ascii="Muli" w:eastAsia="Muli" w:hAnsi="Muli" w:cs="Muli"/>
                <w:b/>
                <w:color w:val="FF126D"/>
                <w:sz w:val="20"/>
                <w:szCs w:val="20"/>
              </w:rPr>
            </w:pPr>
          </w:p>
          <w:p w14:paraId="01E91304" w14:textId="77777777" w:rsidR="003959B7" w:rsidRDefault="00C5473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FD50B7D" wp14:editId="4B267527">
                  <wp:extent cx="2812415" cy="1155950"/>
                  <wp:effectExtent l="12700" t="12700" r="12700" b="12700"/>
                  <wp:docPr id="4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2812415" cy="1155950"/>
                          </a:xfrm>
                          <a:prstGeom prst="rect">
                            <a:avLst/>
                          </a:prstGeom>
                          <a:ln w="12700">
                            <a:solidFill>
                              <a:srgbClr val="CCCCCC"/>
                            </a:solidFill>
                            <a:prstDash val="solid"/>
                          </a:ln>
                        </pic:spPr>
                      </pic:pic>
                    </a:graphicData>
                  </a:graphic>
                </wp:inline>
              </w:drawing>
            </w:r>
          </w:p>
          <w:p w14:paraId="658B3EF1" w14:textId="77777777" w:rsidR="003959B7" w:rsidRDefault="00C5473B">
            <w:pPr>
              <w:pStyle w:val="normal0"/>
              <w:ind w:left="90" w:right="90"/>
              <w:rPr>
                <w:rFonts w:ascii="Muli" w:eastAsia="Muli" w:hAnsi="Muli" w:cs="Muli"/>
                <w:sz w:val="20"/>
                <w:szCs w:val="20"/>
              </w:rPr>
            </w:pPr>
            <w:r>
              <w:rPr>
                <w:rFonts w:ascii="Muli" w:eastAsia="Muli" w:hAnsi="Muli" w:cs="Muli"/>
                <w:b/>
                <w:color w:val="FF126D"/>
                <w:sz w:val="20"/>
                <w:szCs w:val="20"/>
              </w:rPr>
              <w:t>DQ4L3 TE Investigate p. 142</w:t>
            </w:r>
          </w:p>
        </w:tc>
      </w:tr>
      <w:tr w:rsidR="003959B7" w14:paraId="5A6B1DAD" w14:textId="77777777">
        <w:trPr>
          <w:trHeight w:val="840"/>
        </w:trPr>
        <w:tc>
          <w:tcPr>
            <w:tcW w:w="13875" w:type="dxa"/>
            <w:gridSpan w:val="2"/>
            <w:shd w:val="clear" w:color="auto" w:fill="CCCCCC"/>
          </w:tcPr>
          <w:p w14:paraId="0C77EDAD" w14:textId="77777777" w:rsidR="003959B7" w:rsidRDefault="00C5473B">
            <w:pPr>
              <w:pStyle w:val="normal0"/>
              <w:ind w:left="180"/>
              <w:rPr>
                <w:rFonts w:ascii="Muli" w:eastAsia="Muli" w:hAnsi="Muli" w:cs="Muli"/>
                <w:sz w:val="20"/>
                <w:szCs w:val="20"/>
              </w:rPr>
            </w:pPr>
            <w:r>
              <w:rPr>
                <w:rFonts w:ascii="Muli" w:eastAsia="Muli" w:hAnsi="Muli" w:cs="Muli"/>
                <w:b/>
                <w:sz w:val="20"/>
                <w:szCs w:val="20"/>
              </w:rPr>
              <w:lastRenderedPageBreak/>
              <w:t>SP4. Equitable Access.</w:t>
            </w:r>
            <w:r>
              <w:rPr>
                <w:rFonts w:ascii="Muli" w:eastAsia="Muli" w:hAnsi="Muli" w:cs="Muli"/>
                <w:sz w:val="20"/>
                <w:szCs w:val="20"/>
              </w:rPr>
              <w:t xml:space="preserve"> </w:t>
            </w:r>
          </w:p>
          <w:p w14:paraId="6FE5B559" w14:textId="77777777" w:rsidR="003959B7" w:rsidRDefault="00C5473B">
            <w:pPr>
              <w:pStyle w:val="normal0"/>
              <w:ind w:left="180"/>
              <w:rPr>
                <w:rFonts w:ascii="Muli" w:eastAsia="Muli" w:hAnsi="Muli" w:cs="Muli"/>
                <w:sz w:val="20"/>
                <w:szCs w:val="20"/>
              </w:rPr>
            </w:pPr>
            <w:r>
              <w:rPr>
                <w:rFonts w:ascii="Muli" w:eastAsia="Muli" w:hAnsi="Muli" w:cs="Muli"/>
                <w:sz w:val="20"/>
                <w:szCs w:val="20"/>
              </w:rPr>
              <w:t>The module provides strong support and strategies for ensuring that assessments are accessible to students from diverse backgrounds and with diverse learning needs.</w:t>
            </w:r>
          </w:p>
        </w:tc>
      </w:tr>
      <w:tr w:rsidR="003959B7" w14:paraId="0C53494D" w14:textId="77777777">
        <w:trPr>
          <w:trHeight w:val="4800"/>
        </w:trPr>
        <w:tc>
          <w:tcPr>
            <w:tcW w:w="9285" w:type="dxa"/>
          </w:tcPr>
          <w:p w14:paraId="5A5E69E9" w14:textId="77777777" w:rsidR="003959B7" w:rsidRDefault="003959B7">
            <w:pPr>
              <w:pStyle w:val="normal0"/>
              <w:ind w:left="180"/>
              <w:rPr>
                <w:rFonts w:ascii="Muli" w:eastAsia="Muli" w:hAnsi="Muli" w:cs="Muli"/>
                <w:b/>
                <w:sz w:val="20"/>
                <w:szCs w:val="20"/>
              </w:rPr>
            </w:pPr>
          </w:p>
          <w:p w14:paraId="7311F758" w14:textId="77777777" w:rsidR="003959B7" w:rsidRDefault="00C5473B">
            <w:pPr>
              <w:pStyle w:val="normal0"/>
              <w:ind w:left="180"/>
              <w:rPr>
                <w:rFonts w:ascii="Muli" w:eastAsia="Muli" w:hAnsi="Muli" w:cs="Muli"/>
                <w:b/>
                <w:sz w:val="20"/>
                <w:szCs w:val="20"/>
              </w:rPr>
            </w:pPr>
            <w:r>
              <w:rPr>
                <w:rFonts w:ascii="Muli" w:eastAsia="Muli" w:hAnsi="Muli" w:cs="Muli"/>
                <w:b/>
                <w:color w:val="FF126D"/>
                <w:sz w:val="20"/>
                <w:szCs w:val="20"/>
              </w:rPr>
              <w:t>Evidence</w:t>
            </w:r>
          </w:p>
          <w:p w14:paraId="134AD3CC" w14:textId="77777777" w:rsidR="003959B7" w:rsidRDefault="00C5473B">
            <w:pPr>
              <w:pStyle w:val="normal0"/>
              <w:numPr>
                <w:ilvl w:val="0"/>
                <w:numId w:val="15"/>
              </w:numPr>
              <w:ind w:right="180"/>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writing, drawing, physical models, and oral discussions, allowing all students to access a range of assessment types to suit their learning style and/or reading level.</w:t>
            </w:r>
          </w:p>
          <w:p w14:paraId="38ABF115" w14:textId="77777777" w:rsidR="003959B7" w:rsidRDefault="00C5473B">
            <w:pPr>
              <w:pStyle w:val="normal0"/>
              <w:numPr>
                <w:ilvl w:val="0"/>
                <w:numId w:val="15"/>
              </w:numPr>
              <w:ind w:right="180"/>
              <w:contextualSpacing/>
              <w:rPr>
                <w:rFonts w:ascii="Muli" w:eastAsia="Muli" w:hAnsi="Muli" w:cs="Muli"/>
                <w:sz w:val="20"/>
                <w:szCs w:val="20"/>
              </w:rPr>
            </w:pPr>
            <w:r>
              <w:rPr>
                <w:rFonts w:ascii="Muli" w:eastAsia="Muli" w:hAnsi="Muli" w:cs="Muli"/>
                <w:sz w:val="20"/>
                <w:szCs w:val="20"/>
              </w:rPr>
              <w:t>The digital TB and digital assessment items (Benchmark, Multiple Choice, Rubrics) have a text to speech function allowing students of all reading levels to access the assessments.</w:t>
            </w:r>
          </w:p>
          <w:p w14:paraId="374C8068" w14:textId="77777777" w:rsidR="003959B7" w:rsidRDefault="00C5473B">
            <w:pPr>
              <w:pStyle w:val="normal0"/>
              <w:numPr>
                <w:ilvl w:val="0"/>
                <w:numId w:val="15"/>
              </w:numPr>
              <w:ind w:right="180"/>
              <w:contextualSpacing/>
              <w:rPr>
                <w:rFonts w:ascii="Muli" w:eastAsia="Muli" w:hAnsi="Muli" w:cs="Muli"/>
                <w:sz w:val="20"/>
                <w:szCs w:val="20"/>
              </w:rPr>
            </w:pPr>
            <w:r>
              <w:rPr>
                <w:rFonts w:ascii="Muli" w:eastAsia="Muli" w:hAnsi="Muli" w:cs="Muli"/>
                <w:sz w:val="20"/>
                <w:szCs w:val="20"/>
              </w:rPr>
              <w:t>The rubrics for the performance tasks (DQ2L6, DQ3L4, DQ4L4, DQ5L4) and Benchmark Assessment (</w:t>
            </w:r>
            <w:r>
              <w:rPr>
                <w:rFonts w:ascii="Muli" w:eastAsia="Muli" w:hAnsi="Muli" w:cs="Muli"/>
                <w:b/>
                <w:color w:val="FF126D"/>
                <w:sz w:val="20"/>
                <w:szCs w:val="20"/>
              </w:rPr>
              <w:t>DQ5 TE p. 184</w:t>
            </w:r>
            <w:r>
              <w:rPr>
                <w:rFonts w:ascii="Muli" w:eastAsia="Muli" w:hAnsi="Muli" w:cs="Muli"/>
                <w:sz w:val="20"/>
                <w:szCs w:val="20"/>
              </w:rPr>
              <w:t xml:space="preserve">) have four levels (emerging, developing, proficient, advanced) allowing all students to demonstrate their current level of attainment. </w:t>
            </w:r>
          </w:p>
        </w:tc>
        <w:tc>
          <w:tcPr>
            <w:tcW w:w="4590" w:type="dxa"/>
          </w:tcPr>
          <w:p w14:paraId="0CE6DE17" w14:textId="77777777" w:rsidR="003959B7" w:rsidRDefault="00C5473B">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1D694298" wp14:editId="6A2C8A7F">
                  <wp:extent cx="2334260" cy="2709888"/>
                  <wp:effectExtent l="12700" t="12700" r="12700" b="1270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l="1801" t="10262" r="1358" b="11546"/>
                          <a:stretch>
                            <a:fillRect/>
                          </a:stretch>
                        </pic:blipFill>
                        <pic:spPr>
                          <a:xfrm>
                            <a:off x="0" y="0"/>
                            <a:ext cx="2334260" cy="2709888"/>
                          </a:xfrm>
                          <a:prstGeom prst="rect">
                            <a:avLst/>
                          </a:prstGeom>
                          <a:ln w="12700">
                            <a:solidFill>
                              <a:srgbClr val="CCCCCC"/>
                            </a:solidFill>
                            <a:prstDash val="solid"/>
                          </a:ln>
                        </pic:spPr>
                      </pic:pic>
                    </a:graphicData>
                  </a:graphic>
                </wp:inline>
              </w:drawing>
            </w:r>
          </w:p>
          <w:p w14:paraId="0FE2D6B3" w14:textId="77777777" w:rsidR="003959B7" w:rsidRDefault="00C5473B">
            <w:pPr>
              <w:pStyle w:val="normal0"/>
              <w:ind w:left="90" w:right="180"/>
              <w:rPr>
                <w:rFonts w:ascii="Muli" w:eastAsia="Muli" w:hAnsi="Muli" w:cs="Muli"/>
                <w:b/>
                <w:color w:val="FF126D"/>
                <w:sz w:val="20"/>
                <w:szCs w:val="20"/>
              </w:rPr>
            </w:pPr>
            <w:r>
              <w:rPr>
                <w:rFonts w:ascii="Muli" w:eastAsia="Muli" w:hAnsi="Muli" w:cs="Muli"/>
                <w:b/>
                <w:color w:val="FF126D"/>
                <w:sz w:val="20"/>
                <w:szCs w:val="20"/>
              </w:rPr>
              <w:t>DQ5 TE p. 184</w:t>
            </w:r>
          </w:p>
        </w:tc>
      </w:tr>
      <w:tr w:rsidR="003959B7" w14:paraId="41B7DA80" w14:textId="77777777">
        <w:trPr>
          <w:trHeight w:val="4220"/>
        </w:trPr>
        <w:tc>
          <w:tcPr>
            <w:tcW w:w="9285" w:type="dxa"/>
          </w:tcPr>
          <w:p w14:paraId="722FD241" w14:textId="77777777" w:rsidR="003959B7" w:rsidRDefault="00C5473B">
            <w:pPr>
              <w:pStyle w:val="normal0"/>
              <w:numPr>
                <w:ilvl w:val="0"/>
                <w:numId w:val="15"/>
              </w:numPr>
              <w:ind w:right="180"/>
              <w:contextualSpacing/>
              <w:rPr>
                <w:rFonts w:ascii="Muli" w:eastAsia="Muli" w:hAnsi="Muli" w:cs="Muli"/>
                <w:sz w:val="20"/>
                <w:szCs w:val="20"/>
              </w:rPr>
            </w:pPr>
            <w:r>
              <w:rPr>
                <w:rFonts w:ascii="Muli" w:eastAsia="Muli" w:hAnsi="Muli" w:cs="Muli"/>
                <w:sz w:val="20"/>
                <w:szCs w:val="20"/>
              </w:rPr>
              <w:t xml:space="preserve">The </w:t>
            </w:r>
            <w:r>
              <w:rPr>
                <w:rFonts w:ascii="Muli" w:eastAsia="Muli" w:hAnsi="Muli" w:cs="Muli"/>
                <w:b/>
                <w:color w:val="FF126D"/>
                <w:sz w:val="20"/>
                <w:szCs w:val="20"/>
              </w:rPr>
              <w:t>multiple choice assessment (DQ6)</w:t>
            </w:r>
            <w:r>
              <w:rPr>
                <w:rFonts w:ascii="Muli" w:eastAsia="Muli" w:hAnsi="Muli" w:cs="Muli"/>
                <w:sz w:val="20"/>
                <w:szCs w:val="20"/>
              </w:rPr>
              <w:t xml:space="preserve"> contains questions targeting different DoK levels, with an extended section available to further challenge GATE students.</w:t>
            </w:r>
          </w:p>
        </w:tc>
        <w:tc>
          <w:tcPr>
            <w:tcW w:w="4590" w:type="dxa"/>
          </w:tcPr>
          <w:p w14:paraId="2FA20C2A"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49CA1CB4" wp14:editId="69BBF4D0">
                  <wp:extent cx="2570480" cy="2393527"/>
                  <wp:effectExtent l="12700" t="12700" r="12700" b="127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2570480" cy="2393527"/>
                          </a:xfrm>
                          <a:prstGeom prst="rect">
                            <a:avLst/>
                          </a:prstGeom>
                          <a:ln w="12700">
                            <a:solidFill>
                              <a:srgbClr val="D9D9D9"/>
                            </a:solidFill>
                            <a:prstDash val="solid"/>
                          </a:ln>
                        </pic:spPr>
                      </pic:pic>
                    </a:graphicData>
                  </a:graphic>
                </wp:inline>
              </w:drawing>
            </w:r>
          </w:p>
          <w:p w14:paraId="76B9672B" w14:textId="77777777" w:rsidR="003959B7" w:rsidRDefault="00C5473B">
            <w:pPr>
              <w:pStyle w:val="normal0"/>
              <w:ind w:left="180" w:right="90" w:hanging="90"/>
              <w:rPr>
                <w:rFonts w:ascii="Muli" w:eastAsia="Muli" w:hAnsi="Muli" w:cs="Muli"/>
                <w:b/>
                <w:sz w:val="20"/>
                <w:szCs w:val="20"/>
              </w:rPr>
            </w:pPr>
            <w:r>
              <w:rPr>
                <w:rFonts w:ascii="Muli" w:eastAsia="Muli" w:hAnsi="Muli" w:cs="Muli"/>
                <w:b/>
                <w:color w:val="FF126D"/>
                <w:sz w:val="20"/>
                <w:szCs w:val="20"/>
              </w:rPr>
              <w:t>Multiple choice (digital, DQ6)</w:t>
            </w:r>
          </w:p>
        </w:tc>
      </w:tr>
      <w:tr w:rsidR="003959B7" w14:paraId="18C4771A" w14:textId="77777777">
        <w:trPr>
          <w:trHeight w:val="12960"/>
        </w:trPr>
        <w:tc>
          <w:tcPr>
            <w:tcW w:w="9285" w:type="dxa"/>
          </w:tcPr>
          <w:p w14:paraId="45464055" w14:textId="77777777" w:rsidR="003959B7" w:rsidRDefault="00C5473B">
            <w:pPr>
              <w:pStyle w:val="normal0"/>
              <w:numPr>
                <w:ilvl w:val="0"/>
                <w:numId w:val="15"/>
              </w:numPr>
              <w:ind w:right="180"/>
              <w:contextualSpacing/>
              <w:rPr>
                <w:rFonts w:ascii="Muli" w:eastAsia="Muli" w:hAnsi="Muli" w:cs="Muli"/>
                <w:sz w:val="20"/>
                <w:szCs w:val="20"/>
              </w:rPr>
            </w:pPr>
            <w:r>
              <w:rPr>
                <w:rFonts w:ascii="Muli" w:eastAsia="Muli" w:hAnsi="Muli" w:cs="Muli"/>
                <w:sz w:val="20"/>
                <w:szCs w:val="20"/>
              </w:rPr>
              <w:lastRenderedPageBreak/>
              <w:t>Writing, Reading, Listening and Speaking domain tasks dedicated to monitor English language development are integrated into the core instructional resources (</w:t>
            </w:r>
            <w:r>
              <w:rPr>
                <w:rFonts w:ascii="Muli" w:eastAsia="Muli" w:hAnsi="Muli" w:cs="Muli"/>
                <w:b/>
                <w:color w:val="FF126D"/>
                <w:sz w:val="20"/>
                <w:szCs w:val="20"/>
              </w:rPr>
              <w:t>DQ3L3 TE p. 111, DQ4L2 TE p. 137</w:t>
            </w:r>
            <w:r>
              <w:rPr>
                <w:rFonts w:ascii="Muli" w:eastAsia="Muli" w:hAnsi="Muli" w:cs="Muli"/>
                <w:sz w:val="20"/>
                <w:szCs w:val="20"/>
              </w:rPr>
              <w:t>) and the on-level reader lessons (</w:t>
            </w:r>
            <w:r>
              <w:rPr>
                <w:rFonts w:ascii="Muli" w:eastAsia="Muli" w:hAnsi="Muli" w:cs="Muli"/>
                <w:b/>
                <w:color w:val="FF126D"/>
                <w:sz w:val="20"/>
                <w:szCs w:val="20"/>
              </w:rPr>
              <w:t>TE Chapter 3 Second Read, p. 231</w:t>
            </w:r>
            <w:r>
              <w:rPr>
                <w:rFonts w:ascii="Muli" w:eastAsia="Muli" w:hAnsi="Muli" w:cs="Muli"/>
                <w:sz w:val="20"/>
                <w:szCs w:val="20"/>
              </w:rPr>
              <w:t>).</w:t>
            </w:r>
          </w:p>
        </w:tc>
        <w:tc>
          <w:tcPr>
            <w:tcW w:w="4590" w:type="dxa"/>
          </w:tcPr>
          <w:p w14:paraId="331EE2EF"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6AABBE14" wp14:editId="59A80265">
                  <wp:extent cx="2743835" cy="2662869"/>
                  <wp:effectExtent l="12700" t="12700" r="12700" b="1270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3"/>
                          <a:srcRect/>
                          <a:stretch>
                            <a:fillRect/>
                          </a:stretch>
                        </pic:blipFill>
                        <pic:spPr>
                          <a:xfrm>
                            <a:off x="0" y="0"/>
                            <a:ext cx="2743835" cy="2662869"/>
                          </a:xfrm>
                          <a:prstGeom prst="rect">
                            <a:avLst/>
                          </a:prstGeom>
                          <a:ln w="12700">
                            <a:solidFill>
                              <a:srgbClr val="D9D9D9"/>
                            </a:solidFill>
                            <a:prstDash val="solid"/>
                          </a:ln>
                        </pic:spPr>
                      </pic:pic>
                    </a:graphicData>
                  </a:graphic>
                </wp:inline>
              </w:drawing>
            </w:r>
          </w:p>
          <w:p w14:paraId="42F4AD70" w14:textId="77777777" w:rsidR="003959B7" w:rsidRDefault="00C5473B">
            <w:pPr>
              <w:pStyle w:val="normal0"/>
              <w:ind w:left="180" w:right="180" w:hanging="90"/>
              <w:rPr>
                <w:rFonts w:ascii="Muli" w:eastAsia="Muli" w:hAnsi="Muli" w:cs="Muli"/>
                <w:b/>
                <w:color w:val="FF126D"/>
                <w:sz w:val="20"/>
                <w:szCs w:val="20"/>
              </w:rPr>
            </w:pPr>
            <w:r>
              <w:rPr>
                <w:rFonts w:ascii="Muli" w:eastAsia="Muli" w:hAnsi="Muli" w:cs="Muli"/>
                <w:b/>
                <w:color w:val="FF126D"/>
                <w:sz w:val="20"/>
                <w:szCs w:val="20"/>
              </w:rPr>
              <w:t>DQ3L3 TE p. 111</w:t>
            </w:r>
          </w:p>
          <w:p w14:paraId="3FAE6785" w14:textId="77777777" w:rsidR="003959B7" w:rsidRDefault="003959B7">
            <w:pPr>
              <w:pStyle w:val="normal0"/>
              <w:ind w:left="180" w:right="180" w:hanging="90"/>
              <w:rPr>
                <w:rFonts w:ascii="Muli" w:eastAsia="Muli" w:hAnsi="Muli" w:cs="Muli"/>
                <w:b/>
                <w:color w:val="FF126D"/>
                <w:sz w:val="20"/>
                <w:szCs w:val="20"/>
              </w:rPr>
            </w:pPr>
          </w:p>
          <w:p w14:paraId="20C63E3F" w14:textId="77777777" w:rsidR="003959B7" w:rsidRDefault="00C5473B">
            <w:pPr>
              <w:pStyle w:val="normal0"/>
              <w:ind w:left="180" w:right="18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D70C392" wp14:editId="0A0B7A94">
                  <wp:extent cx="2751455" cy="2462778"/>
                  <wp:effectExtent l="12700" t="12700" r="12700" b="12700"/>
                  <wp:docPr id="1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4"/>
                          <a:srcRect/>
                          <a:stretch>
                            <a:fillRect/>
                          </a:stretch>
                        </pic:blipFill>
                        <pic:spPr>
                          <a:xfrm>
                            <a:off x="0" y="0"/>
                            <a:ext cx="2751455" cy="2462778"/>
                          </a:xfrm>
                          <a:prstGeom prst="rect">
                            <a:avLst/>
                          </a:prstGeom>
                          <a:ln w="12700">
                            <a:solidFill>
                              <a:srgbClr val="D9D9D9"/>
                            </a:solidFill>
                            <a:prstDash val="solid"/>
                          </a:ln>
                        </pic:spPr>
                      </pic:pic>
                    </a:graphicData>
                  </a:graphic>
                </wp:inline>
              </w:drawing>
            </w:r>
          </w:p>
          <w:p w14:paraId="704EC40F" w14:textId="77777777" w:rsidR="003959B7" w:rsidRDefault="00C5473B">
            <w:pPr>
              <w:pStyle w:val="normal0"/>
              <w:ind w:left="180" w:right="180" w:hanging="90"/>
              <w:rPr>
                <w:rFonts w:ascii="Muli" w:eastAsia="Muli" w:hAnsi="Muli" w:cs="Muli"/>
                <w:b/>
                <w:color w:val="FF126D"/>
                <w:sz w:val="20"/>
                <w:szCs w:val="20"/>
              </w:rPr>
            </w:pPr>
            <w:r>
              <w:rPr>
                <w:rFonts w:ascii="Muli" w:eastAsia="Muli" w:hAnsi="Muli" w:cs="Muli"/>
                <w:b/>
                <w:color w:val="FF126D"/>
                <w:sz w:val="20"/>
                <w:szCs w:val="20"/>
              </w:rPr>
              <w:t>DQ4L2 TE p. 137</w:t>
            </w:r>
            <w:r>
              <w:rPr>
                <w:rFonts w:ascii="Muli" w:eastAsia="Muli" w:hAnsi="Muli" w:cs="Muli"/>
                <w:b/>
                <w:noProof/>
                <w:color w:val="FF126D"/>
                <w:sz w:val="20"/>
                <w:szCs w:val="20"/>
              </w:rPr>
              <w:lastRenderedPageBreak/>
              <w:drawing>
                <wp:inline distT="114300" distB="114300" distL="114300" distR="114300" wp14:anchorId="756A3EA1" wp14:editId="07F18F8B">
                  <wp:extent cx="2679065" cy="3012850"/>
                  <wp:effectExtent l="12700" t="12700" r="12700" b="12700"/>
                  <wp:docPr id="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5"/>
                          <a:srcRect/>
                          <a:stretch>
                            <a:fillRect/>
                          </a:stretch>
                        </pic:blipFill>
                        <pic:spPr>
                          <a:xfrm>
                            <a:off x="0" y="0"/>
                            <a:ext cx="2679065" cy="3012850"/>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TE Chapter 3 Second Read, p. 231</w:t>
            </w:r>
          </w:p>
        </w:tc>
      </w:tr>
    </w:tbl>
    <w:tbl>
      <w:tblPr>
        <w:tblStyle w:val="a8"/>
        <w:tblW w:w="14476"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20"/>
        <w:gridCol w:w="2386"/>
        <w:gridCol w:w="2386"/>
        <w:gridCol w:w="2384"/>
      </w:tblGrid>
      <w:tr w:rsidR="003959B7" w14:paraId="74F593C8" w14:textId="77777777">
        <w:trPr>
          <w:trHeight w:val="560"/>
        </w:trPr>
        <w:tc>
          <w:tcPr>
            <w:tcW w:w="7320" w:type="dxa"/>
            <w:shd w:val="clear" w:color="auto" w:fill="2F5496"/>
          </w:tcPr>
          <w:p w14:paraId="1BAC87D4" w14:textId="77777777" w:rsidR="003959B7" w:rsidRDefault="00C5473B">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lastRenderedPageBreak/>
              <w:t>Designed for the NGSS: Foundations</w:t>
            </w:r>
          </w:p>
        </w:tc>
        <w:tc>
          <w:tcPr>
            <w:tcW w:w="2386" w:type="dxa"/>
            <w:shd w:val="clear" w:color="auto" w:fill="2F5496"/>
          </w:tcPr>
          <w:p w14:paraId="44E38D4F" w14:textId="77777777" w:rsidR="003959B7" w:rsidRDefault="00C5473B">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68B0D980" w14:textId="77777777" w:rsidR="003959B7" w:rsidRDefault="00C5473B">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386" w:type="dxa"/>
            <w:shd w:val="clear" w:color="auto" w:fill="2F5496"/>
          </w:tcPr>
          <w:p w14:paraId="6395007B" w14:textId="77777777" w:rsidR="003959B7" w:rsidRDefault="00C5473B">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6640479F" w14:textId="77777777" w:rsidR="003959B7" w:rsidRDefault="00C5473B">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384" w:type="dxa"/>
            <w:shd w:val="clear" w:color="auto" w:fill="2F5496"/>
          </w:tcPr>
          <w:p w14:paraId="4B088FE7" w14:textId="77777777" w:rsidR="003959B7" w:rsidRDefault="00C5473B">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22857566" w14:textId="77777777" w:rsidR="003959B7" w:rsidRDefault="00C5473B">
            <w:pPr>
              <w:pStyle w:val="normal0"/>
              <w:spacing w:before="100"/>
              <w:ind w:left="135"/>
              <w:jc w:val="center"/>
              <w:rPr>
                <w:rFonts w:ascii="Muli" w:eastAsia="Muli" w:hAnsi="Muli" w:cs="Muli"/>
                <w:color w:val="FFFFFF"/>
                <w:sz w:val="20"/>
                <w:szCs w:val="20"/>
              </w:rPr>
            </w:pPr>
            <w:r>
              <w:rPr>
                <w:rFonts w:ascii="Muli" w:eastAsia="Muli" w:hAnsi="Muli" w:cs="Muli"/>
                <w:b/>
                <w:color w:val="FFFFFF"/>
                <w:sz w:val="20"/>
                <w:szCs w:val="20"/>
              </w:rPr>
              <w:t>1</w:t>
            </w:r>
          </w:p>
        </w:tc>
      </w:tr>
      <w:tr w:rsidR="003959B7" w14:paraId="674BEA86" w14:textId="77777777">
        <w:trPr>
          <w:trHeight w:val="2020"/>
        </w:trPr>
        <w:tc>
          <w:tcPr>
            <w:tcW w:w="7320" w:type="dxa"/>
            <w:tcBorders>
              <w:bottom w:val="single" w:sz="4" w:space="0" w:color="000000"/>
            </w:tcBorders>
          </w:tcPr>
          <w:p w14:paraId="0C3355AC" w14:textId="77777777" w:rsidR="003959B7" w:rsidRDefault="00C5473B">
            <w:pPr>
              <w:pStyle w:val="normal0"/>
              <w:spacing w:before="44"/>
              <w:ind w:left="100" w:right="351"/>
              <w:rPr>
                <w:rFonts w:ascii="Muli" w:eastAsia="Muli" w:hAnsi="Muli" w:cs="Muli"/>
                <w:sz w:val="20"/>
                <w:szCs w:val="20"/>
              </w:rPr>
            </w:pPr>
            <w:r>
              <w:rPr>
                <w:rFonts w:ascii="Muli" w:eastAsia="Muli" w:hAnsi="Muli" w:cs="Muli"/>
                <w:b/>
                <w:sz w:val="20"/>
                <w:szCs w:val="20"/>
              </w:rPr>
              <w:t xml:space="preserve">TS1. Phenomenon/Problem Driven Three-Dimensional Learning. </w:t>
            </w:r>
            <w:r>
              <w:rPr>
                <w:rFonts w:ascii="Muli" w:eastAsia="Muli" w:hAnsi="Muli" w:cs="Muli"/>
                <w:sz w:val="20"/>
                <w:szCs w:val="20"/>
              </w:rPr>
              <w:t>Teacher materials provide:</w:t>
            </w:r>
          </w:p>
          <w:p w14:paraId="286A5E42" w14:textId="77777777" w:rsidR="003959B7" w:rsidRDefault="00C5473B">
            <w:pPr>
              <w:pStyle w:val="normal0"/>
              <w:numPr>
                <w:ilvl w:val="0"/>
                <w:numId w:val="16"/>
              </w:numPr>
              <w:tabs>
                <w:tab w:val="left" w:pos="460"/>
                <w:tab w:val="left" w:pos="461"/>
              </w:tabs>
              <w:ind w:right="710"/>
              <w:rPr>
                <w:rFonts w:ascii="Muli" w:eastAsia="Muli" w:hAnsi="Muli" w:cs="Muli"/>
              </w:rPr>
            </w:pPr>
            <w:r>
              <w:rPr>
                <w:rFonts w:ascii="Muli" w:eastAsia="Muli" w:hAnsi="Muli" w:cs="Muli"/>
                <w:sz w:val="20"/>
                <w:szCs w:val="20"/>
              </w:rPr>
              <w:t>background information about the phenomena or problems included in the learning sequence and across sequences;</w:t>
            </w:r>
          </w:p>
          <w:p w14:paraId="13AEDB5A" w14:textId="77777777" w:rsidR="003959B7" w:rsidRDefault="00C5473B">
            <w:pPr>
              <w:pStyle w:val="normal0"/>
              <w:numPr>
                <w:ilvl w:val="0"/>
                <w:numId w:val="16"/>
              </w:numPr>
              <w:tabs>
                <w:tab w:val="left" w:pos="460"/>
                <w:tab w:val="left" w:pos="461"/>
              </w:tabs>
              <w:spacing w:line="242" w:lineRule="auto"/>
              <w:rPr>
                <w:rFonts w:ascii="Muli" w:eastAsia="Muli" w:hAnsi="Muli" w:cs="Muli"/>
              </w:rPr>
            </w:pPr>
            <w:r>
              <w:rPr>
                <w:rFonts w:ascii="Muli" w:eastAsia="Muli" w:hAnsi="Muli" w:cs="Muli"/>
                <w:sz w:val="20"/>
                <w:szCs w:val="20"/>
              </w:rPr>
              <w:t>an explanation of the role of phenomena or problems in driving student learning;</w:t>
            </w:r>
          </w:p>
          <w:p w14:paraId="3621C936" w14:textId="77777777" w:rsidR="003959B7" w:rsidRDefault="00C5473B">
            <w:pPr>
              <w:pStyle w:val="normal0"/>
              <w:numPr>
                <w:ilvl w:val="0"/>
                <w:numId w:val="16"/>
              </w:numPr>
              <w:tabs>
                <w:tab w:val="left" w:pos="460"/>
                <w:tab w:val="left" w:pos="461"/>
              </w:tabs>
              <w:ind w:right="176"/>
              <w:rPr>
                <w:rFonts w:ascii="Muli" w:eastAsia="Muli" w:hAnsi="Muli" w:cs="Muli"/>
              </w:rPr>
            </w:pPr>
            <w:r>
              <w:rPr>
                <w:rFonts w:ascii="Muli" w:eastAsia="Muli" w:hAnsi="Muli" w:cs="Muli"/>
                <w:sz w:val="20"/>
                <w:szCs w:val="20"/>
              </w:rPr>
              <w:t>rationale for why the unit phenomena or problems were selected for the targeted DCIs, SEPs, and CCCs.</w:t>
            </w:r>
          </w:p>
          <w:p w14:paraId="4930FB54" w14:textId="77777777" w:rsidR="003959B7" w:rsidRDefault="003959B7">
            <w:pPr>
              <w:pStyle w:val="normal0"/>
              <w:tabs>
                <w:tab w:val="left" w:pos="460"/>
                <w:tab w:val="left" w:pos="461"/>
              </w:tabs>
              <w:ind w:right="176"/>
              <w:rPr>
                <w:rFonts w:ascii="Muli" w:eastAsia="Muli" w:hAnsi="Muli" w:cs="Muli"/>
                <w:sz w:val="20"/>
                <w:szCs w:val="20"/>
              </w:rPr>
            </w:pPr>
          </w:p>
          <w:p w14:paraId="77268FC4" w14:textId="77777777" w:rsidR="003959B7" w:rsidRDefault="00C5473B">
            <w:pPr>
              <w:pStyle w:val="normal0"/>
              <w:spacing w:before="1" w:line="360" w:lineRule="auto"/>
              <w:ind w:left="100"/>
              <w:rPr>
                <w:rFonts w:ascii="Muli" w:eastAsia="Muli" w:hAnsi="Muli" w:cs="Muli"/>
                <w:sz w:val="20"/>
                <w:szCs w:val="20"/>
              </w:rPr>
            </w:pPr>
            <w:r>
              <w:rPr>
                <w:rFonts w:ascii="Muli" w:eastAsia="Muli" w:hAnsi="Muli" w:cs="Muli"/>
                <w:sz w:val="20"/>
                <w:szCs w:val="20"/>
              </w:rPr>
              <w:t>Refer to F1, F2, SW1, SW2, SP1.</w:t>
            </w:r>
          </w:p>
        </w:tc>
        <w:tc>
          <w:tcPr>
            <w:tcW w:w="2386" w:type="dxa"/>
            <w:tcBorders>
              <w:bottom w:val="single" w:sz="4" w:space="0" w:color="000000"/>
            </w:tcBorders>
          </w:tcPr>
          <w:p w14:paraId="1D6652A2" w14:textId="77777777" w:rsidR="003959B7" w:rsidRDefault="00C5473B">
            <w:pPr>
              <w:pStyle w:val="normal0"/>
              <w:spacing w:before="44"/>
              <w:ind w:left="100" w:right="122"/>
              <w:rPr>
                <w:rFonts w:ascii="Muli" w:eastAsia="Muli" w:hAnsi="Muli" w:cs="Muli"/>
                <w:sz w:val="20"/>
                <w:szCs w:val="20"/>
              </w:rPr>
            </w:pPr>
            <w:r>
              <w:rPr>
                <w:rFonts w:ascii="Muli" w:eastAsia="Muli" w:hAnsi="Muli" w:cs="Muli"/>
                <w:sz w:val="20"/>
                <w:szCs w:val="20"/>
              </w:rPr>
              <w:t>Materials provide clear guidance to teachers on how students develop, use, and integrate the three dimensions to make sense of phenomena or design solutions to problems.</w:t>
            </w:r>
          </w:p>
        </w:tc>
        <w:tc>
          <w:tcPr>
            <w:tcW w:w="2386" w:type="dxa"/>
            <w:tcBorders>
              <w:bottom w:val="single" w:sz="4" w:space="0" w:color="000000"/>
            </w:tcBorders>
          </w:tcPr>
          <w:p w14:paraId="797CD136" w14:textId="77777777" w:rsidR="003959B7" w:rsidRDefault="003959B7">
            <w:pPr>
              <w:pStyle w:val="normal0"/>
              <w:spacing w:before="10"/>
              <w:rPr>
                <w:rFonts w:ascii="Muli" w:eastAsia="Muli" w:hAnsi="Muli" w:cs="Muli"/>
                <w:sz w:val="20"/>
                <w:szCs w:val="20"/>
              </w:rPr>
            </w:pPr>
          </w:p>
          <w:p w14:paraId="447305F2" w14:textId="77777777" w:rsidR="003959B7" w:rsidRDefault="00C5473B">
            <w:pPr>
              <w:pStyle w:val="normal0"/>
              <w:ind w:left="100" w:right="122"/>
              <w:rPr>
                <w:rFonts w:ascii="Muli" w:eastAsia="Muli" w:hAnsi="Muli" w:cs="Muli"/>
                <w:sz w:val="20"/>
                <w:szCs w:val="20"/>
              </w:rPr>
            </w:pPr>
            <w:r>
              <w:rPr>
                <w:rFonts w:ascii="Muli" w:eastAsia="Muli" w:hAnsi="Muli" w:cs="Muli"/>
                <w:sz w:val="20"/>
                <w:szCs w:val="20"/>
              </w:rPr>
              <w:t>Materials provide some guidance to teachers about how students develop, use, and integrate the three dimensions.</w:t>
            </w:r>
          </w:p>
        </w:tc>
        <w:tc>
          <w:tcPr>
            <w:tcW w:w="2384" w:type="dxa"/>
            <w:tcBorders>
              <w:bottom w:val="single" w:sz="4" w:space="0" w:color="000000"/>
            </w:tcBorders>
          </w:tcPr>
          <w:p w14:paraId="0BB7DC2D" w14:textId="77777777" w:rsidR="003959B7" w:rsidRDefault="003959B7">
            <w:pPr>
              <w:pStyle w:val="normal0"/>
              <w:spacing w:before="10"/>
              <w:rPr>
                <w:rFonts w:ascii="Muli" w:eastAsia="Muli" w:hAnsi="Muli" w:cs="Muli"/>
                <w:sz w:val="20"/>
                <w:szCs w:val="20"/>
              </w:rPr>
            </w:pPr>
          </w:p>
          <w:p w14:paraId="278653DC" w14:textId="77777777" w:rsidR="003959B7" w:rsidRDefault="00C5473B">
            <w:pPr>
              <w:pStyle w:val="normal0"/>
              <w:ind w:left="99" w:right="135"/>
              <w:rPr>
                <w:rFonts w:ascii="Muli" w:eastAsia="Muli" w:hAnsi="Muli" w:cs="Muli"/>
                <w:sz w:val="20"/>
                <w:szCs w:val="20"/>
              </w:rPr>
            </w:pPr>
            <w:r>
              <w:rPr>
                <w:rFonts w:ascii="Muli" w:eastAsia="Muli" w:hAnsi="Muli" w:cs="Muli"/>
                <w:sz w:val="20"/>
                <w:szCs w:val="20"/>
              </w:rPr>
              <w:t>Materials provide little guidance on developing, using, or integrating them to make sense of phenomena or design solutions to problems.</w:t>
            </w:r>
          </w:p>
        </w:tc>
      </w:tr>
      <w:tr w:rsidR="003959B7" w14:paraId="20FF9F8F" w14:textId="77777777">
        <w:trPr>
          <w:trHeight w:val="2280"/>
        </w:trPr>
        <w:tc>
          <w:tcPr>
            <w:tcW w:w="7320" w:type="dxa"/>
            <w:tcBorders>
              <w:top w:val="single" w:sz="4" w:space="0" w:color="000000"/>
            </w:tcBorders>
          </w:tcPr>
          <w:p w14:paraId="6670FB15" w14:textId="77777777" w:rsidR="003959B7" w:rsidRDefault="00C5473B">
            <w:pPr>
              <w:pStyle w:val="normal0"/>
              <w:spacing w:before="42"/>
              <w:ind w:left="100"/>
              <w:rPr>
                <w:rFonts w:ascii="Muli" w:eastAsia="Muli" w:hAnsi="Muli" w:cs="Muli"/>
                <w:sz w:val="20"/>
                <w:szCs w:val="20"/>
              </w:rPr>
            </w:pPr>
            <w:r>
              <w:rPr>
                <w:rFonts w:ascii="Muli" w:eastAsia="Muli" w:hAnsi="Muli" w:cs="Muli"/>
                <w:b/>
                <w:sz w:val="20"/>
                <w:szCs w:val="20"/>
              </w:rPr>
              <w:t xml:space="preserve">TS2. Coherence. </w:t>
            </w:r>
            <w:r>
              <w:rPr>
                <w:rFonts w:ascii="Muli" w:eastAsia="Muli" w:hAnsi="Muli" w:cs="Muli"/>
                <w:sz w:val="20"/>
                <w:szCs w:val="20"/>
              </w:rPr>
              <w:t>Teacher materials describe and provide a rationale for:</w:t>
            </w:r>
          </w:p>
          <w:p w14:paraId="175D3DC2" w14:textId="77777777" w:rsidR="003959B7" w:rsidRDefault="00C5473B">
            <w:pPr>
              <w:pStyle w:val="normal0"/>
              <w:numPr>
                <w:ilvl w:val="0"/>
                <w:numId w:val="3"/>
              </w:numPr>
              <w:tabs>
                <w:tab w:val="left" w:pos="460"/>
                <w:tab w:val="left" w:pos="461"/>
              </w:tabs>
              <w:spacing w:before="1"/>
              <w:ind w:right="893"/>
              <w:rPr>
                <w:rFonts w:ascii="Muli" w:eastAsia="Muli" w:hAnsi="Muli" w:cs="Muli"/>
              </w:rPr>
            </w:pPr>
            <w:r>
              <w:rPr>
                <w:rFonts w:ascii="Muli" w:eastAsia="Muli" w:hAnsi="Muli" w:cs="Muli"/>
                <w:sz w:val="20"/>
                <w:szCs w:val="20"/>
              </w:rPr>
              <w:t>the conceptual framework and sequence of ideas, practices, and learning experiences in the learning sequences and across sequences;</w:t>
            </w:r>
          </w:p>
          <w:p w14:paraId="6F16E8E1" w14:textId="77777777" w:rsidR="003959B7" w:rsidRDefault="00C5473B">
            <w:pPr>
              <w:pStyle w:val="normal0"/>
              <w:numPr>
                <w:ilvl w:val="0"/>
                <w:numId w:val="3"/>
              </w:numPr>
              <w:tabs>
                <w:tab w:val="left" w:pos="460"/>
                <w:tab w:val="left" w:pos="461"/>
              </w:tabs>
              <w:spacing w:before="1"/>
              <w:ind w:right="241"/>
              <w:rPr>
                <w:rFonts w:ascii="Muli" w:eastAsia="Muli" w:hAnsi="Muli" w:cs="Muli"/>
              </w:rPr>
            </w:pPr>
            <w:r>
              <w:rPr>
                <w:rFonts w:ascii="Muli" w:eastAsia="Muli" w:hAnsi="Muli" w:cs="Muli"/>
                <w:sz w:val="20"/>
                <w:szCs w:val="20"/>
              </w:rPr>
              <w:t>strategies for linking student experiences across lessons to ensure student sense- making and/or problem-solving focused on phenomena or problems is linked to learning across all three dimensions;</w:t>
            </w:r>
          </w:p>
          <w:p w14:paraId="5CF102C9" w14:textId="77777777" w:rsidR="003959B7" w:rsidRDefault="00C5473B">
            <w:pPr>
              <w:pStyle w:val="normal0"/>
              <w:numPr>
                <w:ilvl w:val="0"/>
                <w:numId w:val="3"/>
              </w:numPr>
              <w:tabs>
                <w:tab w:val="left" w:pos="459"/>
                <w:tab w:val="left" w:pos="460"/>
              </w:tabs>
              <w:ind w:left="459" w:right="143" w:hanging="359"/>
              <w:rPr>
                <w:rFonts w:ascii="Muli" w:eastAsia="Muli" w:hAnsi="Muli" w:cs="Muli"/>
              </w:rPr>
            </w:pPr>
            <w:r>
              <w:rPr>
                <w:rFonts w:ascii="Muli" w:eastAsia="Muli" w:hAnsi="Muli" w:cs="Muli"/>
                <w:sz w:val="20"/>
                <w:szCs w:val="20"/>
              </w:rPr>
              <w:t>Connections to other Science Domains, Nature of Science, Engineering, Technology, and Applications of Science, math, and ELA.</w:t>
            </w:r>
          </w:p>
          <w:p w14:paraId="2504CD63" w14:textId="77777777" w:rsidR="003959B7" w:rsidRDefault="003959B7">
            <w:pPr>
              <w:pStyle w:val="normal0"/>
              <w:tabs>
                <w:tab w:val="left" w:pos="459"/>
                <w:tab w:val="left" w:pos="460"/>
              </w:tabs>
              <w:ind w:right="143"/>
              <w:rPr>
                <w:rFonts w:ascii="Muli" w:eastAsia="Muli" w:hAnsi="Muli" w:cs="Muli"/>
                <w:sz w:val="20"/>
                <w:szCs w:val="20"/>
              </w:rPr>
            </w:pPr>
          </w:p>
          <w:p w14:paraId="444805D0" w14:textId="77777777" w:rsidR="003959B7" w:rsidRDefault="00C5473B">
            <w:pPr>
              <w:pStyle w:val="normal0"/>
              <w:spacing w:line="242" w:lineRule="auto"/>
              <w:ind w:left="100"/>
              <w:rPr>
                <w:rFonts w:ascii="Muli" w:eastAsia="Muli" w:hAnsi="Muli" w:cs="Muli"/>
                <w:sz w:val="20"/>
                <w:szCs w:val="20"/>
              </w:rPr>
            </w:pPr>
            <w:r>
              <w:rPr>
                <w:rFonts w:ascii="Muli" w:eastAsia="Muli" w:hAnsi="Muli" w:cs="Muli"/>
                <w:sz w:val="20"/>
                <w:szCs w:val="20"/>
              </w:rPr>
              <w:t>Refer to F2, F3, SW2, SP2.</w:t>
            </w:r>
          </w:p>
        </w:tc>
        <w:tc>
          <w:tcPr>
            <w:tcW w:w="2386" w:type="dxa"/>
            <w:tcBorders>
              <w:top w:val="single" w:sz="4" w:space="0" w:color="000000"/>
            </w:tcBorders>
          </w:tcPr>
          <w:p w14:paraId="1A13D4E8" w14:textId="77777777" w:rsidR="003959B7" w:rsidRDefault="00C5473B">
            <w:pPr>
              <w:pStyle w:val="normal0"/>
              <w:spacing w:before="164"/>
              <w:ind w:left="100" w:right="106"/>
              <w:rPr>
                <w:rFonts w:ascii="Muli" w:eastAsia="Muli" w:hAnsi="Muli" w:cs="Muli"/>
                <w:sz w:val="20"/>
                <w:szCs w:val="20"/>
              </w:rPr>
            </w:pPr>
            <w:r>
              <w:rPr>
                <w:rFonts w:ascii="Muli" w:eastAsia="Muli" w:hAnsi="Muli" w:cs="Muli"/>
                <w:sz w:val="20"/>
                <w:szCs w:val="20"/>
              </w:rPr>
              <w:t>Materials provide strong support for understanding unit coherence and helping students link experiences to learning across all three dimensions and to phenomena or problems.</w:t>
            </w:r>
          </w:p>
        </w:tc>
        <w:tc>
          <w:tcPr>
            <w:tcW w:w="2386" w:type="dxa"/>
            <w:tcBorders>
              <w:top w:val="single" w:sz="4" w:space="0" w:color="000000"/>
            </w:tcBorders>
          </w:tcPr>
          <w:p w14:paraId="05DB81AE" w14:textId="77777777" w:rsidR="003959B7" w:rsidRDefault="00C5473B">
            <w:pPr>
              <w:pStyle w:val="normal0"/>
              <w:spacing w:before="164"/>
              <w:ind w:left="100" w:right="106"/>
              <w:rPr>
                <w:rFonts w:ascii="Muli" w:eastAsia="Muli" w:hAnsi="Muli" w:cs="Muli"/>
                <w:sz w:val="20"/>
                <w:szCs w:val="20"/>
              </w:rPr>
            </w:pPr>
            <w:r>
              <w:rPr>
                <w:rFonts w:ascii="Muli" w:eastAsia="Muli" w:hAnsi="Muli" w:cs="Muli"/>
                <w:sz w:val="20"/>
                <w:szCs w:val="20"/>
              </w:rPr>
              <w:t>Materials provide some support for understanding unit coherence and helping students link experiences to learning across all three dimensions and to phenomena or problems.</w:t>
            </w:r>
          </w:p>
        </w:tc>
        <w:tc>
          <w:tcPr>
            <w:tcW w:w="2384" w:type="dxa"/>
            <w:tcBorders>
              <w:top w:val="single" w:sz="4" w:space="0" w:color="000000"/>
            </w:tcBorders>
          </w:tcPr>
          <w:p w14:paraId="510AA8EE" w14:textId="77777777" w:rsidR="003959B7" w:rsidRDefault="00C5473B">
            <w:pPr>
              <w:pStyle w:val="normal0"/>
              <w:spacing w:before="165"/>
              <w:ind w:left="99" w:right="105"/>
              <w:rPr>
                <w:rFonts w:ascii="Muli" w:eastAsia="Muli" w:hAnsi="Muli" w:cs="Muli"/>
                <w:sz w:val="20"/>
                <w:szCs w:val="20"/>
              </w:rPr>
            </w:pPr>
            <w:r>
              <w:rPr>
                <w:rFonts w:ascii="Muli" w:eastAsia="Muli" w:hAnsi="Muli" w:cs="Muli"/>
                <w:sz w:val="20"/>
                <w:szCs w:val="20"/>
              </w:rPr>
              <w:t>Materials provide little support for understanding unit coherence and helping students link experiences to learning across all three dimensions and to phenomena or problems.</w:t>
            </w:r>
          </w:p>
        </w:tc>
      </w:tr>
      <w:tr w:rsidR="003959B7" w14:paraId="016E2701" w14:textId="77777777" w:rsidTr="00AF6C9D">
        <w:trPr>
          <w:trHeight w:val="404"/>
        </w:trPr>
        <w:tc>
          <w:tcPr>
            <w:tcW w:w="7320" w:type="dxa"/>
          </w:tcPr>
          <w:p w14:paraId="0998F669" w14:textId="77777777" w:rsidR="003959B7" w:rsidRDefault="00C5473B">
            <w:pPr>
              <w:pStyle w:val="normal0"/>
              <w:spacing w:before="44"/>
              <w:ind w:left="100" w:right="253"/>
              <w:rPr>
                <w:rFonts w:ascii="Muli" w:eastAsia="Muli" w:hAnsi="Muli" w:cs="Muli"/>
                <w:sz w:val="20"/>
                <w:szCs w:val="20"/>
              </w:rPr>
            </w:pPr>
            <w:r>
              <w:rPr>
                <w:rFonts w:ascii="Muli" w:eastAsia="Muli" w:hAnsi="Muli" w:cs="Muli"/>
                <w:b/>
                <w:sz w:val="20"/>
                <w:szCs w:val="20"/>
              </w:rPr>
              <w:t xml:space="preserve">TS3. Effective Teaching. </w:t>
            </w:r>
            <w:r>
              <w:rPr>
                <w:rFonts w:ascii="Muli" w:eastAsia="Muli" w:hAnsi="Muli" w:cs="Muli"/>
                <w:sz w:val="20"/>
                <w:szCs w:val="20"/>
              </w:rPr>
              <w:t>Teacher materials support the use of and provide a rationale and evidence of effectiveness for strategies that:</w:t>
            </w:r>
          </w:p>
          <w:p w14:paraId="4C31DC3B" w14:textId="77777777" w:rsidR="003959B7" w:rsidRDefault="00C5473B">
            <w:pPr>
              <w:pStyle w:val="normal0"/>
              <w:numPr>
                <w:ilvl w:val="0"/>
                <w:numId w:val="2"/>
              </w:numPr>
              <w:tabs>
                <w:tab w:val="left" w:pos="460"/>
                <w:tab w:val="left" w:pos="461"/>
              </w:tabs>
              <w:spacing w:before="1"/>
              <w:ind w:right="477"/>
              <w:rPr>
                <w:rFonts w:ascii="Muli" w:eastAsia="Muli" w:hAnsi="Muli" w:cs="Muli"/>
              </w:rPr>
            </w:pPr>
            <w:r>
              <w:rPr>
                <w:rFonts w:ascii="Muli" w:eastAsia="Muli" w:hAnsi="Muli" w:cs="Muli"/>
                <w:sz w:val="20"/>
                <w:szCs w:val="20"/>
              </w:rPr>
              <w:t>support students in learning through authentic and meaningful phenomena or design problems;</w:t>
            </w:r>
          </w:p>
          <w:p w14:paraId="2FDAA537" w14:textId="77777777" w:rsidR="003959B7" w:rsidRDefault="00C5473B">
            <w:pPr>
              <w:pStyle w:val="normal0"/>
              <w:numPr>
                <w:ilvl w:val="0"/>
                <w:numId w:val="2"/>
              </w:numPr>
              <w:tabs>
                <w:tab w:val="left" w:pos="460"/>
                <w:tab w:val="left" w:pos="461"/>
              </w:tabs>
              <w:spacing w:line="242" w:lineRule="auto"/>
              <w:rPr>
                <w:rFonts w:ascii="Muli" w:eastAsia="Muli" w:hAnsi="Muli" w:cs="Muli"/>
              </w:rPr>
            </w:pPr>
            <w:r>
              <w:rPr>
                <w:rFonts w:ascii="Muli" w:eastAsia="Muli" w:hAnsi="Muli" w:cs="Muli"/>
                <w:sz w:val="20"/>
                <w:szCs w:val="20"/>
              </w:rPr>
              <w:t>support student learning across the three dimensions;</w:t>
            </w:r>
          </w:p>
          <w:p w14:paraId="72010A64" w14:textId="77777777" w:rsidR="003959B7" w:rsidRDefault="00C5473B">
            <w:pPr>
              <w:pStyle w:val="normal0"/>
              <w:numPr>
                <w:ilvl w:val="0"/>
                <w:numId w:val="2"/>
              </w:numPr>
              <w:tabs>
                <w:tab w:val="left" w:pos="460"/>
                <w:tab w:val="left" w:pos="461"/>
              </w:tabs>
              <w:spacing w:before="1"/>
              <w:ind w:right="400"/>
              <w:rPr>
                <w:rFonts w:ascii="Muli" w:eastAsia="Muli" w:hAnsi="Muli" w:cs="Muli"/>
              </w:rPr>
            </w:pPr>
            <w:r>
              <w:rPr>
                <w:rFonts w:ascii="Muli" w:eastAsia="Muli" w:hAnsi="Muli" w:cs="Muli"/>
                <w:sz w:val="20"/>
                <w:szCs w:val="20"/>
              </w:rPr>
              <w:t>make student thinking visible; promote reasoning, sense-making, and problem- solving; challenge student thinking; and develop metacognitive abilities.</w:t>
            </w:r>
          </w:p>
          <w:p w14:paraId="2CF88F3F" w14:textId="77777777" w:rsidR="003959B7" w:rsidRDefault="003959B7">
            <w:pPr>
              <w:pStyle w:val="normal0"/>
              <w:tabs>
                <w:tab w:val="left" w:pos="460"/>
                <w:tab w:val="left" w:pos="461"/>
              </w:tabs>
              <w:spacing w:before="1"/>
              <w:ind w:right="400"/>
              <w:rPr>
                <w:rFonts w:ascii="Muli" w:eastAsia="Muli" w:hAnsi="Muli" w:cs="Muli"/>
                <w:sz w:val="20"/>
                <w:szCs w:val="20"/>
              </w:rPr>
            </w:pPr>
          </w:p>
          <w:p w14:paraId="569C3389" w14:textId="77777777" w:rsidR="003959B7" w:rsidRDefault="00C5473B">
            <w:pPr>
              <w:pStyle w:val="normal0"/>
              <w:spacing w:line="242" w:lineRule="auto"/>
              <w:ind w:left="100"/>
              <w:rPr>
                <w:rFonts w:ascii="Muli" w:eastAsia="Muli" w:hAnsi="Muli" w:cs="Muli"/>
                <w:sz w:val="20"/>
                <w:szCs w:val="20"/>
              </w:rPr>
            </w:pPr>
            <w:r>
              <w:rPr>
                <w:rFonts w:ascii="Muli" w:eastAsia="Muli" w:hAnsi="Muli" w:cs="Muli"/>
                <w:sz w:val="20"/>
                <w:szCs w:val="20"/>
              </w:rPr>
              <w:lastRenderedPageBreak/>
              <w:t>Refer to SW1, SW2, SW3, SW4, SP3.</w:t>
            </w:r>
          </w:p>
        </w:tc>
        <w:tc>
          <w:tcPr>
            <w:tcW w:w="2386" w:type="dxa"/>
          </w:tcPr>
          <w:p w14:paraId="4171EBD5" w14:textId="77777777" w:rsidR="003959B7" w:rsidRDefault="00C5473B">
            <w:pPr>
              <w:pStyle w:val="normal0"/>
              <w:spacing w:before="166"/>
              <w:ind w:left="100" w:right="151"/>
              <w:rPr>
                <w:rFonts w:ascii="Muli" w:eastAsia="Muli" w:hAnsi="Muli" w:cs="Muli"/>
                <w:sz w:val="20"/>
                <w:szCs w:val="20"/>
              </w:rPr>
            </w:pPr>
            <w:r>
              <w:rPr>
                <w:rFonts w:ascii="Muli" w:eastAsia="Muli" w:hAnsi="Muli" w:cs="Muli"/>
                <w:sz w:val="20"/>
                <w:szCs w:val="20"/>
              </w:rPr>
              <w:lastRenderedPageBreak/>
              <w:t xml:space="preserve">Materials provide rationale and robust support for implementing strategies that enhance student performances, thinking, and </w:t>
            </w:r>
            <w:r>
              <w:rPr>
                <w:rFonts w:ascii="Muli" w:eastAsia="Muli" w:hAnsi="Muli" w:cs="Muli"/>
                <w:sz w:val="20"/>
                <w:szCs w:val="20"/>
              </w:rPr>
              <w:lastRenderedPageBreak/>
              <w:t>metacognition.</w:t>
            </w:r>
          </w:p>
        </w:tc>
        <w:tc>
          <w:tcPr>
            <w:tcW w:w="2386" w:type="dxa"/>
          </w:tcPr>
          <w:p w14:paraId="4A7114C8" w14:textId="77777777" w:rsidR="003959B7" w:rsidRDefault="003959B7">
            <w:pPr>
              <w:pStyle w:val="normal0"/>
              <w:spacing w:before="1"/>
              <w:rPr>
                <w:rFonts w:ascii="Muli" w:eastAsia="Muli" w:hAnsi="Muli" w:cs="Muli"/>
                <w:sz w:val="20"/>
                <w:szCs w:val="20"/>
              </w:rPr>
            </w:pPr>
          </w:p>
          <w:p w14:paraId="6F3724A7" w14:textId="77777777" w:rsidR="003959B7" w:rsidRDefault="00C5473B">
            <w:pPr>
              <w:pStyle w:val="normal0"/>
              <w:spacing w:before="1"/>
              <w:ind w:left="100" w:right="202"/>
              <w:rPr>
                <w:rFonts w:ascii="Muli" w:eastAsia="Muli" w:hAnsi="Muli" w:cs="Muli"/>
                <w:sz w:val="20"/>
                <w:szCs w:val="20"/>
              </w:rPr>
            </w:pPr>
            <w:r>
              <w:rPr>
                <w:rFonts w:ascii="Muli" w:eastAsia="Muli" w:hAnsi="Muli" w:cs="Muli"/>
                <w:sz w:val="20"/>
                <w:szCs w:val="20"/>
              </w:rPr>
              <w:t xml:space="preserve">Materials provide some rationale and support for implementing strategies that enhance student performances, thinking, and </w:t>
            </w:r>
            <w:r>
              <w:rPr>
                <w:rFonts w:ascii="Muli" w:eastAsia="Muli" w:hAnsi="Muli" w:cs="Muli"/>
                <w:sz w:val="20"/>
                <w:szCs w:val="20"/>
              </w:rPr>
              <w:lastRenderedPageBreak/>
              <w:t>metacognition.</w:t>
            </w:r>
          </w:p>
        </w:tc>
        <w:tc>
          <w:tcPr>
            <w:tcW w:w="2384" w:type="dxa"/>
          </w:tcPr>
          <w:p w14:paraId="31861F5E" w14:textId="77777777" w:rsidR="003959B7" w:rsidRDefault="00C5473B">
            <w:pPr>
              <w:pStyle w:val="normal0"/>
              <w:spacing w:before="167"/>
              <w:ind w:left="99" w:right="201"/>
              <w:rPr>
                <w:rFonts w:ascii="Muli" w:eastAsia="Muli" w:hAnsi="Muli" w:cs="Muli"/>
                <w:sz w:val="20"/>
                <w:szCs w:val="20"/>
              </w:rPr>
            </w:pPr>
            <w:r>
              <w:rPr>
                <w:rFonts w:ascii="Muli" w:eastAsia="Muli" w:hAnsi="Muli" w:cs="Muli"/>
                <w:sz w:val="20"/>
                <w:szCs w:val="20"/>
              </w:rPr>
              <w:lastRenderedPageBreak/>
              <w:t xml:space="preserve">Materials provide little rationale and support for teachers to implement strategies that enhance student performances, thinking, and </w:t>
            </w:r>
            <w:r>
              <w:rPr>
                <w:rFonts w:ascii="Muli" w:eastAsia="Muli" w:hAnsi="Muli" w:cs="Muli"/>
                <w:sz w:val="20"/>
                <w:szCs w:val="20"/>
              </w:rPr>
              <w:lastRenderedPageBreak/>
              <w:t>metacognition.</w:t>
            </w:r>
          </w:p>
        </w:tc>
      </w:tr>
      <w:tr w:rsidR="003959B7" w14:paraId="76AF78D1" w14:textId="77777777">
        <w:trPr>
          <w:trHeight w:val="1540"/>
        </w:trPr>
        <w:tc>
          <w:tcPr>
            <w:tcW w:w="7320" w:type="dxa"/>
          </w:tcPr>
          <w:p w14:paraId="79DAFA45" w14:textId="77777777" w:rsidR="003959B7" w:rsidRDefault="00C5473B">
            <w:pPr>
              <w:pStyle w:val="normal0"/>
              <w:spacing w:before="44"/>
              <w:ind w:left="100" w:right="176"/>
              <w:rPr>
                <w:rFonts w:ascii="Muli" w:eastAsia="Muli" w:hAnsi="Muli" w:cs="Muli"/>
                <w:sz w:val="20"/>
                <w:szCs w:val="20"/>
              </w:rPr>
            </w:pPr>
            <w:r>
              <w:rPr>
                <w:rFonts w:ascii="Muli" w:eastAsia="Muli" w:hAnsi="Muli" w:cs="Muli"/>
                <w:b/>
                <w:sz w:val="20"/>
                <w:szCs w:val="20"/>
              </w:rPr>
              <w:lastRenderedPageBreak/>
              <w:t xml:space="preserve">TS4. Support for Students with Diverse Learning Needs. </w:t>
            </w:r>
            <w:r>
              <w:rPr>
                <w:rFonts w:ascii="Muli" w:eastAsia="Muli" w:hAnsi="Muli" w:cs="Muli"/>
                <w:sz w:val="20"/>
                <w:szCs w:val="20"/>
              </w:rPr>
              <w:t>Teacher materials provide an array of strategies:</w:t>
            </w:r>
          </w:p>
          <w:p w14:paraId="60C03003" w14:textId="77777777" w:rsidR="003959B7" w:rsidRDefault="00C5473B">
            <w:pPr>
              <w:pStyle w:val="normal0"/>
              <w:numPr>
                <w:ilvl w:val="0"/>
                <w:numId w:val="5"/>
              </w:numPr>
              <w:tabs>
                <w:tab w:val="left" w:pos="460"/>
                <w:tab w:val="left" w:pos="461"/>
              </w:tabs>
              <w:ind w:right="829"/>
              <w:rPr>
                <w:rFonts w:ascii="Muli" w:eastAsia="Muli" w:hAnsi="Muli" w:cs="Muli"/>
              </w:rPr>
            </w:pPr>
            <w:r>
              <w:rPr>
                <w:rFonts w:ascii="Muli" w:eastAsia="Muli" w:hAnsi="Muli" w:cs="Muli"/>
                <w:sz w:val="20"/>
                <w:szCs w:val="20"/>
              </w:rPr>
              <w:t>to support student access to the targeted learning goals, experiences, and performances;</w:t>
            </w:r>
          </w:p>
          <w:p w14:paraId="47FECDB6" w14:textId="77777777" w:rsidR="003959B7" w:rsidRDefault="00C5473B">
            <w:pPr>
              <w:pStyle w:val="normal0"/>
              <w:numPr>
                <w:ilvl w:val="0"/>
                <w:numId w:val="5"/>
              </w:numPr>
              <w:tabs>
                <w:tab w:val="left" w:pos="460"/>
                <w:tab w:val="left" w:pos="461"/>
              </w:tabs>
              <w:ind w:right="829"/>
              <w:rPr>
                <w:rFonts w:ascii="Muli" w:eastAsia="Muli" w:hAnsi="Muli" w:cs="Muli"/>
              </w:rPr>
            </w:pPr>
            <w:r>
              <w:rPr>
                <w:rFonts w:ascii="Muli" w:eastAsia="Muli" w:hAnsi="Muli" w:cs="Muli"/>
                <w:sz w:val="20"/>
                <w:szCs w:val="20"/>
              </w:rPr>
              <w:t xml:space="preserve">that help teachers differentiate instruction. </w:t>
            </w:r>
          </w:p>
          <w:p w14:paraId="1526AB2B" w14:textId="77777777" w:rsidR="003959B7" w:rsidRDefault="003959B7">
            <w:pPr>
              <w:pStyle w:val="normal0"/>
              <w:tabs>
                <w:tab w:val="left" w:pos="460"/>
                <w:tab w:val="left" w:pos="461"/>
              </w:tabs>
              <w:ind w:right="829"/>
              <w:rPr>
                <w:rFonts w:ascii="Muli" w:eastAsia="Muli" w:hAnsi="Muli" w:cs="Muli"/>
                <w:sz w:val="20"/>
                <w:szCs w:val="20"/>
              </w:rPr>
            </w:pPr>
          </w:p>
          <w:p w14:paraId="07814141" w14:textId="77777777" w:rsidR="003959B7" w:rsidRDefault="00C5473B">
            <w:pPr>
              <w:pStyle w:val="normal0"/>
              <w:tabs>
                <w:tab w:val="left" w:pos="460"/>
                <w:tab w:val="left" w:pos="461"/>
              </w:tabs>
              <w:spacing w:line="360" w:lineRule="auto"/>
              <w:ind w:right="3316"/>
              <w:rPr>
                <w:rFonts w:ascii="Muli" w:eastAsia="Muli" w:hAnsi="Muli" w:cs="Muli"/>
                <w:sz w:val="20"/>
                <w:szCs w:val="20"/>
              </w:rPr>
            </w:pPr>
            <w:r>
              <w:rPr>
                <w:rFonts w:ascii="Muli" w:eastAsia="Muli" w:hAnsi="Muli" w:cs="Muli"/>
                <w:sz w:val="20"/>
                <w:szCs w:val="20"/>
              </w:rPr>
              <w:t>Refer to SW5, SP4.</w:t>
            </w:r>
          </w:p>
        </w:tc>
        <w:tc>
          <w:tcPr>
            <w:tcW w:w="2386" w:type="dxa"/>
          </w:tcPr>
          <w:p w14:paraId="04B109AC" w14:textId="77777777" w:rsidR="003959B7" w:rsidRDefault="00C5473B">
            <w:pPr>
              <w:pStyle w:val="normal0"/>
              <w:spacing w:before="166"/>
              <w:ind w:left="100" w:right="243"/>
              <w:rPr>
                <w:rFonts w:ascii="Muli" w:eastAsia="Muli" w:hAnsi="Muli" w:cs="Muli"/>
                <w:sz w:val="20"/>
                <w:szCs w:val="20"/>
              </w:rPr>
            </w:pPr>
            <w:r>
              <w:rPr>
                <w:rFonts w:ascii="Muli" w:eastAsia="Muli" w:hAnsi="Muli" w:cs="Muli"/>
                <w:sz w:val="20"/>
                <w:szCs w:val="20"/>
              </w:rPr>
              <w:t>Materials include robust and comprehensive strategies for supporting learners with diverse needs.</w:t>
            </w:r>
          </w:p>
        </w:tc>
        <w:tc>
          <w:tcPr>
            <w:tcW w:w="2386" w:type="dxa"/>
          </w:tcPr>
          <w:p w14:paraId="16CCC1A9" w14:textId="77777777" w:rsidR="003959B7" w:rsidRDefault="003959B7">
            <w:pPr>
              <w:pStyle w:val="normal0"/>
              <w:spacing w:before="1"/>
              <w:rPr>
                <w:rFonts w:ascii="Muli" w:eastAsia="Muli" w:hAnsi="Muli" w:cs="Muli"/>
                <w:sz w:val="20"/>
                <w:szCs w:val="20"/>
              </w:rPr>
            </w:pPr>
          </w:p>
          <w:p w14:paraId="482E3062" w14:textId="77777777" w:rsidR="003959B7" w:rsidRDefault="00C5473B">
            <w:pPr>
              <w:pStyle w:val="normal0"/>
              <w:spacing w:before="1"/>
              <w:ind w:left="100" w:right="122"/>
              <w:rPr>
                <w:rFonts w:ascii="Muli" w:eastAsia="Muli" w:hAnsi="Muli" w:cs="Muli"/>
                <w:sz w:val="20"/>
                <w:szCs w:val="20"/>
              </w:rPr>
            </w:pPr>
            <w:r>
              <w:rPr>
                <w:rFonts w:ascii="Muli" w:eastAsia="Muli" w:hAnsi="Muli" w:cs="Muli"/>
                <w:sz w:val="20"/>
                <w:szCs w:val="20"/>
              </w:rPr>
              <w:t>Materials include some robust strategies for supporting learners with diverse needs.</w:t>
            </w:r>
          </w:p>
        </w:tc>
        <w:tc>
          <w:tcPr>
            <w:tcW w:w="2384" w:type="dxa"/>
          </w:tcPr>
          <w:p w14:paraId="2F02FE16" w14:textId="77777777" w:rsidR="003959B7" w:rsidRDefault="003959B7">
            <w:pPr>
              <w:pStyle w:val="normal0"/>
              <w:spacing w:before="1"/>
              <w:rPr>
                <w:rFonts w:ascii="Muli" w:eastAsia="Muli" w:hAnsi="Muli" w:cs="Muli"/>
                <w:sz w:val="20"/>
                <w:szCs w:val="20"/>
              </w:rPr>
            </w:pPr>
          </w:p>
          <w:p w14:paraId="20DA6DB5" w14:textId="77777777" w:rsidR="003959B7" w:rsidRDefault="00C5473B">
            <w:pPr>
              <w:pStyle w:val="normal0"/>
              <w:spacing w:before="1"/>
              <w:ind w:left="99" w:right="249"/>
              <w:rPr>
                <w:rFonts w:ascii="Muli" w:eastAsia="Muli" w:hAnsi="Muli" w:cs="Muli"/>
                <w:sz w:val="20"/>
                <w:szCs w:val="20"/>
              </w:rPr>
            </w:pPr>
            <w:r>
              <w:rPr>
                <w:rFonts w:ascii="Muli" w:eastAsia="Muli" w:hAnsi="Muli" w:cs="Muli"/>
                <w:sz w:val="20"/>
                <w:szCs w:val="20"/>
              </w:rPr>
              <w:t>Materials include few robust strategies for supporting learners with diverse needs.</w:t>
            </w:r>
          </w:p>
        </w:tc>
      </w:tr>
      <w:tr w:rsidR="003959B7" w14:paraId="5E2FBF33" w14:textId="77777777">
        <w:trPr>
          <w:trHeight w:val="1060"/>
        </w:trPr>
        <w:tc>
          <w:tcPr>
            <w:tcW w:w="7320" w:type="dxa"/>
          </w:tcPr>
          <w:p w14:paraId="44BACF61" w14:textId="77777777" w:rsidR="003959B7" w:rsidRDefault="00C5473B">
            <w:pPr>
              <w:pStyle w:val="normal0"/>
              <w:spacing w:before="44" w:line="242" w:lineRule="auto"/>
              <w:ind w:left="100"/>
              <w:rPr>
                <w:rFonts w:ascii="Muli" w:eastAsia="Muli" w:hAnsi="Muli" w:cs="Muli"/>
                <w:sz w:val="20"/>
                <w:szCs w:val="20"/>
              </w:rPr>
            </w:pPr>
            <w:r>
              <w:rPr>
                <w:rFonts w:ascii="Muli" w:eastAsia="Muli" w:hAnsi="Muli" w:cs="Muli"/>
                <w:b/>
                <w:sz w:val="20"/>
                <w:szCs w:val="20"/>
              </w:rPr>
              <w:t xml:space="preserve">TS5. Support to Monitor Student Progress. </w:t>
            </w:r>
            <w:r>
              <w:rPr>
                <w:rFonts w:ascii="Muli" w:eastAsia="Muli" w:hAnsi="Muli" w:cs="Muli"/>
                <w:sz w:val="20"/>
                <w:szCs w:val="20"/>
              </w:rPr>
              <w:t>Materials provide support for teachers to:</w:t>
            </w:r>
          </w:p>
          <w:p w14:paraId="4DB293FB" w14:textId="77777777" w:rsidR="003959B7" w:rsidRDefault="00C5473B">
            <w:pPr>
              <w:pStyle w:val="normal0"/>
              <w:numPr>
                <w:ilvl w:val="0"/>
                <w:numId w:val="25"/>
              </w:numPr>
              <w:spacing w:before="44" w:line="242" w:lineRule="auto"/>
              <w:contextualSpacing/>
              <w:rPr>
                <w:rFonts w:ascii="Muli" w:eastAsia="Muli" w:hAnsi="Muli" w:cs="Muli"/>
                <w:sz w:val="20"/>
                <w:szCs w:val="20"/>
              </w:rPr>
            </w:pPr>
            <w:r>
              <w:rPr>
                <w:rFonts w:ascii="Muli" w:eastAsia="Muli" w:hAnsi="Muli" w:cs="Muli"/>
                <w:sz w:val="20"/>
                <w:szCs w:val="20"/>
              </w:rPr>
              <w:t>monitor student learning and progress over time;</w:t>
            </w:r>
          </w:p>
          <w:p w14:paraId="56E3D28F" w14:textId="77777777" w:rsidR="003959B7" w:rsidRDefault="00C5473B">
            <w:pPr>
              <w:pStyle w:val="normal0"/>
              <w:numPr>
                <w:ilvl w:val="0"/>
                <w:numId w:val="25"/>
              </w:numPr>
              <w:spacing w:before="44" w:line="242" w:lineRule="auto"/>
              <w:contextualSpacing/>
              <w:rPr>
                <w:rFonts w:ascii="Muli" w:eastAsia="Muli" w:hAnsi="Muli" w:cs="Muli"/>
                <w:sz w:val="20"/>
                <w:szCs w:val="20"/>
              </w:rPr>
            </w:pPr>
            <w:r>
              <w:rPr>
                <w:rFonts w:ascii="Muli" w:eastAsia="Muli" w:hAnsi="Muli" w:cs="Muli"/>
                <w:sz w:val="20"/>
                <w:szCs w:val="20"/>
              </w:rPr>
              <w:t xml:space="preserve">make decisions about instruction and provide feedback to students. </w:t>
            </w:r>
          </w:p>
          <w:p w14:paraId="7D1191A3" w14:textId="77777777" w:rsidR="003959B7" w:rsidRDefault="003959B7">
            <w:pPr>
              <w:pStyle w:val="normal0"/>
              <w:spacing w:before="44" w:line="242" w:lineRule="auto"/>
              <w:rPr>
                <w:rFonts w:ascii="Muli" w:eastAsia="Muli" w:hAnsi="Muli" w:cs="Muli"/>
                <w:sz w:val="20"/>
                <w:szCs w:val="20"/>
              </w:rPr>
            </w:pPr>
          </w:p>
          <w:p w14:paraId="260D0451" w14:textId="77777777" w:rsidR="003959B7" w:rsidRDefault="00C5473B">
            <w:pPr>
              <w:pStyle w:val="normal0"/>
              <w:tabs>
                <w:tab w:val="left" w:pos="460"/>
                <w:tab w:val="left" w:pos="461"/>
              </w:tabs>
              <w:spacing w:before="1" w:line="360" w:lineRule="auto"/>
              <w:ind w:left="100" w:right="1329"/>
              <w:rPr>
                <w:rFonts w:ascii="Muli" w:eastAsia="Muli" w:hAnsi="Muli" w:cs="Muli"/>
                <w:sz w:val="20"/>
                <w:szCs w:val="20"/>
              </w:rPr>
            </w:pPr>
            <w:r>
              <w:rPr>
                <w:rFonts w:ascii="Muli" w:eastAsia="Muli" w:hAnsi="Muli" w:cs="Muli"/>
                <w:sz w:val="20"/>
                <w:szCs w:val="20"/>
              </w:rPr>
              <w:t>Refer to SW3, SW4, SP1, SP2, SP3.</w:t>
            </w:r>
          </w:p>
        </w:tc>
        <w:tc>
          <w:tcPr>
            <w:tcW w:w="2386" w:type="dxa"/>
          </w:tcPr>
          <w:p w14:paraId="5C6B52B1" w14:textId="77777777" w:rsidR="003959B7" w:rsidRDefault="00C5473B">
            <w:pPr>
              <w:pStyle w:val="normal0"/>
              <w:spacing w:before="44"/>
              <w:ind w:left="100" w:right="176"/>
              <w:rPr>
                <w:rFonts w:ascii="Muli" w:eastAsia="Muli" w:hAnsi="Muli" w:cs="Muli"/>
                <w:sz w:val="20"/>
                <w:szCs w:val="20"/>
              </w:rPr>
            </w:pPr>
            <w:r>
              <w:rPr>
                <w:rFonts w:ascii="Muli" w:eastAsia="Muli" w:hAnsi="Muli" w:cs="Muli"/>
                <w:sz w:val="20"/>
                <w:szCs w:val="20"/>
              </w:rPr>
              <w:t>Materials provide robust support for interpreting and using data generated from assessments.</w:t>
            </w:r>
          </w:p>
        </w:tc>
        <w:tc>
          <w:tcPr>
            <w:tcW w:w="2386" w:type="dxa"/>
          </w:tcPr>
          <w:p w14:paraId="1C504424" w14:textId="77777777" w:rsidR="003959B7" w:rsidRDefault="00C5473B">
            <w:pPr>
              <w:pStyle w:val="normal0"/>
              <w:spacing w:before="44"/>
              <w:ind w:left="100" w:right="176"/>
              <w:rPr>
                <w:rFonts w:ascii="Muli" w:eastAsia="Muli" w:hAnsi="Muli" w:cs="Muli"/>
                <w:sz w:val="20"/>
                <w:szCs w:val="20"/>
              </w:rPr>
            </w:pPr>
            <w:r>
              <w:rPr>
                <w:rFonts w:ascii="Muli" w:eastAsia="Muli" w:hAnsi="Muli" w:cs="Muli"/>
                <w:sz w:val="20"/>
                <w:szCs w:val="20"/>
              </w:rPr>
              <w:t>Materials provide some support for interpreting and using data generated from assessments.</w:t>
            </w:r>
          </w:p>
        </w:tc>
        <w:tc>
          <w:tcPr>
            <w:tcW w:w="2384" w:type="dxa"/>
          </w:tcPr>
          <w:p w14:paraId="4E52EBE0" w14:textId="77777777" w:rsidR="003959B7" w:rsidRDefault="00C5473B">
            <w:pPr>
              <w:pStyle w:val="normal0"/>
              <w:spacing w:before="44"/>
              <w:ind w:left="99" w:right="175"/>
              <w:rPr>
                <w:rFonts w:ascii="Muli" w:eastAsia="Muli" w:hAnsi="Muli" w:cs="Muli"/>
                <w:sz w:val="20"/>
                <w:szCs w:val="20"/>
              </w:rPr>
            </w:pPr>
            <w:r>
              <w:rPr>
                <w:rFonts w:ascii="Muli" w:eastAsia="Muli" w:hAnsi="Muli" w:cs="Muli"/>
                <w:sz w:val="20"/>
                <w:szCs w:val="20"/>
              </w:rPr>
              <w:t>Materials provide little support for interpreting and using data generated from assessments.</w:t>
            </w:r>
          </w:p>
        </w:tc>
      </w:tr>
    </w:tbl>
    <w:p w14:paraId="68C6E4A9" w14:textId="77777777" w:rsidR="003959B7" w:rsidRDefault="00C5473B">
      <w:pPr>
        <w:pStyle w:val="normal0"/>
        <w:spacing w:before="147"/>
        <w:ind w:left="180"/>
        <w:rPr>
          <w:rFonts w:ascii="Muli" w:eastAsia="Muli" w:hAnsi="Muli" w:cs="Muli"/>
          <w:b/>
          <w:color w:val="FF126D"/>
          <w:sz w:val="28"/>
          <w:szCs w:val="28"/>
        </w:rPr>
      </w:pPr>
      <w:r>
        <w:br w:type="page"/>
      </w:r>
    </w:p>
    <w:p w14:paraId="313F1F22" w14:textId="77777777" w:rsidR="003959B7" w:rsidRDefault="00C5473B">
      <w:pPr>
        <w:pStyle w:val="normal0"/>
        <w:spacing w:before="147"/>
        <w:ind w:left="180"/>
        <w:rPr>
          <w:rFonts w:ascii="Muli" w:eastAsia="Muli" w:hAnsi="Muli" w:cs="Muli"/>
          <w:b/>
          <w:color w:val="2F5496"/>
          <w:sz w:val="28"/>
          <w:szCs w:val="28"/>
        </w:rPr>
      </w:pPr>
      <w:r>
        <w:rPr>
          <w:rFonts w:ascii="Muli" w:eastAsia="Muli" w:hAnsi="Muli" w:cs="Muli"/>
          <w:b/>
          <w:color w:val="FF126D"/>
          <w:sz w:val="28"/>
          <w:szCs w:val="28"/>
        </w:rPr>
        <w:lastRenderedPageBreak/>
        <w:t>Designed for NGSS: Teacher Support</w:t>
      </w:r>
    </w:p>
    <w:p w14:paraId="5D9A18DE" w14:textId="77777777" w:rsidR="003959B7" w:rsidRDefault="00C5473B">
      <w:pPr>
        <w:pStyle w:val="normal0"/>
        <w:spacing w:before="147"/>
        <w:ind w:left="180"/>
        <w:rPr>
          <w:rFonts w:ascii="Muli" w:eastAsia="Muli" w:hAnsi="Muli" w:cs="Muli"/>
          <w:b/>
          <w:sz w:val="20"/>
          <w:szCs w:val="20"/>
        </w:rPr>
      </w:pPr>
      <w:r>
        <w:rPr>
          <w:rFonts w:ascii="Muli" w:eastAsia="Muli" w:hAnsi="Muli" w:cs="Muli"/>
          <w:b/>
          <w:sz w:val="20"/>
          <w:szCs w:val="20"/>
        </w:rPr>
        <w:t>Analyze Evidence</w:t>
      </w:r>
    </w:p>
    <w:p w14:paraId="7BB8DB5B" w14:textId="77777777" w:rsidR="003959B7" w:rsidRDefault="00C5473B">
      <w:pPr>
        <w:pStyle w:val="normal0"/>
        <w:spacing w:before="147"/>
        <w:ind w:left="180"/>
        <w:rPr>
          <w:rFonts w:ascii="Muli" w:eastAsia="Muli" w:hAnsi="Muli" w:cs="Muli"/>
          <w:sz w:val="28"/>
          <w:szCs w:val="28"/>
        </w:rPr>
      </w:pPr>
      <w:r>
        <w:rPr>
          <w:rFonts w:ascii="Muli" w:eastAsia="Muli" w:hAnsi="Muli" w:cs="Muli"/>
          <w:b/>
          <w:sz w:val="20"/>
          <w:szCs w:val="20"/>
        </w:rPr>
        <w:t>Directions:</w:t>
      </w:r>
    </w:p>
    <w:p w14:paraId="7DC422AC" w14:textId="77777777" w:rsidR="003959B7" w:rsidRDefault="00C5473B">
      <w:pPr>
        <w:pStyle w:val="normal0"/>
        <w:numPr>
          <w:ilvl w:val="0"/>
          <w:numId w:val="14"/>
        </w:numPr>
        <w:tabs>
          <w:tab w:val="left" w:pos="1393"/>
          <w:tab w:val="left" w:pos="1394"/>
        </w:tabs>
        <w:spacing w:before="157" w:line="242" w:lineRule="auto"/>
        <w:rPr>
          <w:rFonts w:ascii="Muli" w:eastAsia="Muli" w:hAnsi="Muli" w:cs="Muli"/>
        </w:rPr>
      </w:pPr>
      <w:r>
        <w:rPr>
          <w:rFonts w:ascii="Muli" w:eastAsia="Muli" w:hAnsi="Muli" w:cs="Muli"/>
          <w:sz w:val="20"/>
          <w:szCs w:val="20"/>
        </w:rPr>
        <w:t>Review the Designed for NGSS: Foundations Rubric.</w:t>
      </w:r>
    </w:p>
    <w:p w14:paraId="687320FC" w14:textId="77777777" w:rsidR="003959B7" w:rsidRDefault="00C5473B">
      <w:pPr>
        <w:pStyle w:val="normal0"/>
        <w:numPr>
          <w:ilvl w:val="0"/>
          <w:numId w:val="14"/>
        </w:numPr>
        <w:tabs>
          <w:tab w:val="left" w:pos="1393"/>
          <w:tab w:val="left" w:pos="1394"/>
        </w:tabs>
        <w:spacing w:line="242" w:lineRule="auto"/>
        <w:rPr>
          <w:rFonts w:ascii="Muli" w:eastAsia="Muli" w:hAnsi="Muli" w:cs="Muli"/>
        </w:rPr>
      </w:pPr>
      <w:r>
        <w:rPr>
          <w:rFonts w:ascii="Muli" w:eastAsia="Muli" w:hAnsi="Muli" w:cs="Muli"/>
          <w:sz w:val="20"/>
          <w:szCs w:val="20"/>
        </w:rPr>
        <w:t>Reflect on the evidence (or lack of evidence) that you and your team gathered and represented.</w:t>
      </w:r>
    </w:p>
    <w:p w14:paraId="23C5512B" w14:textId="77777777" w:rsidR="003959B7" w:rsidRDefault="00C5473B">
      <w:pPr>
        <w:pStyle w:val="normal0"/>
        <w:numPr>
          <w:ilvl w:val="0"/>
          <w:numId w:val="14"/>
        </w:numPr>
        <w:tabs>
          <w:tab w:val="left" w:pos="1393"/>
          <w:tab w:val="left" w:pos="1394"/>
        </w:tabs>
        <w:spacing w:before="1"/>
        <w:rPr>
          <w:rFonts w:ascii="Muli" w:eastAsia="Muli" w:hAnsi="Muli" w:cs="Muli"/>
        </w:rPr>
      </w:pPr>
      <w:r>
        <w:rPr>
          <w:rFonts w:ascii="Muli" w:eastAsia="Muli" w:hAnsi="Muli" w:cs="Muli"/>
          <w:sz w:val="20"/>
          <w:szCs w:val="20"/>
        </w:rPr>
        <w:t>Record strengths and limitations for each criterion based on your evidence. Cite specific examples.</w:t>
      </w:r>
    </w:p>
    <w:p w14:paraId="63C7AE7E" w14:textId="77777777" w:rsidR="003959B7" w:rsidRDefault="003959B7">
      <w:pPr>
        <w:pStyle w:val="normal0"/>
        <w:spacing w:before="11"/>
        <w:rPr>
          <w:rFonts w:ascii="Muli" w:eastAsia="Muli" w:hAnsi="Muli" w:cs="Muli"/>
          <w:sz w:val="20"/>
          <w:szCs w:val="20"/>
        </w:rPr>
      </w:pPr>
    </w:p>
    <w:tbl>
      <w:tblPr>
        <w:tblStyle w:val="a9"/>
        <w:tblW w:w="146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9"/>
        <w:gridCol w:w="4665"/>
      </w:tblGrid>
      <w:tr w:rsidR="003959B7" w14:paraId="44487C10" w14:textId="77777777" w:rsidTr="00D019D8">
        <w:trPr>
          <w:trHeight w:val="500"/>
        </w:trPr>
        <w:tc>
          <w:tcPr>
            <w:tcW w:w="14614" w:type="dxa"/>
            <w:gridSpan w:val="2"/>
            <w:shd w:val="clear" w:color="auto" w:fill="FF126D"/>
          </w:tcPr>
          <w:p w14:paraId="7E7E09BC" w14:textId="77777777" w:rsidR="003959B7" w:rsidRDefault="00C5473B">
            <w:pPr>
              <w:pStyle w:val="normal0"/>
              <w:spacing w:before="69"/>
              <w:ind w:left="180" w:right="2262"/>
              <w:rPr>
                <w:rFonts w:ascii="Muli" w:eastAsia="Muli" w:hAnsi="Muli" w:cs="Muli"/>
                <w:b/>
                <w:sz w:val="20"/>
                <w:szCs w:val="20"/>
              </w:rPr>
            </w:pPr>
            <w:r>
              <w:rPr>
                <w:rFonts w:ascii="Muli" w:eastAsia="Muli" w:hAnsi="Muli" w:cs="Muli"/>
                <w:b/>
                <w:color w:val="FFFFFF"/>
                <w:sz w:val="20"/>
                <w:szCs w:val="20"/>
              </w:rPr>
              <w:t>Strengths</w:t>
            </w:r>
          </w:p>
        </w:tc>
      </w:tr>
      <w:tr w:rsidR="003959B7" w14:paraId="59C97CF5" w14:textId="77777777" w:rsidTr="00D019D8">
        <w:trPr>
          <w:trHeight w:val="480"/>
        </w:trPr>
        <w:tc>
          <w:tcPr>
            <w:tcW w:w="14614" w:type="dxa"/>
            <w:gridSpan w:val="2"/>
            <w:shd w:val="clear" w:color="auto" w:fill="CCCCCC"/>
          </w:tcPr>
          <w:p w14:paraId="2BCC5AF0" w14:textId="77777777" w:rsidR="003959B7" w:rsidRDefault="00C5473B">
            <w:pPr>
              <w:pStyle w:val="normal0"/>
              <w:spacing w:before="44"/>
              <w:ind w:left="100" w:right="351"/>
              <w:rPr>
                <w:rFonts w:ascii="Muli" w:eastAsia="Muli" w:hAnsi="Muli" w:cs="Muli"/>
                <w:b/>
                <w:color w:val="FFFFFF"/>
                <w:sz w:val="20"/>
                <w:szCs w:val="20"/>
              </w:rPr>
            </w:pPr>
            <w:r>
              <w:rPr>
                <w:rFonts w:ascii="Muli" w:eastAsia="Muli" w:hAnsi="Muli" w:cs="Muli"/>
                <w:b/>
                <w:sz w:val="20"/>
                <w:szCs w:val="20"/>
              </w:rPr>
              <w:t>TS1. Phenomenon/Problem Driven Three-Dimensional Learning.</w:t>
            </w:r>
          </w:p>
        </w:tc>
      </w:tr>
      <w:tr w:rsidR="003959B7" w14:paraId="4D19E250" w14:textId="77777777" w:rsidTr="00D019D8">
        <w:trPr>
          <w:trHeight w:val="900"/>
        </w:trPr>
        <w:tc>
          <w:tcPr>
            <w:tcW w:w="14614" w:type="dxa"/>
            <w:gridSpan w:val="2"/>
            <w:shd w:val="clear" w:color="auto" w:fill="F3F3F3"/>
          </w:tcPr>
          <w:p w14:paraId="21CB9FB1" w14:textId="77777777" w:rsidR="003959B7" w:rsidRDefault="00C5473B">
            <w:pPr>
              <w:pStyle w:val="normal0"/>
              <w:spacing w:before="42"/>
              <w:ind w:left="100"/>
              <w:rPr>
                <w:rFonts w:ascii="Muli" w:eastAsia="Muli" w:hAnsi="Muli" w:cs="Muli"/>
                <w:b/>
                <w:sz w:val="20"/>
                <w:szCs w:val="20"/>
              </w:rPr>
            </w:pPr>
            <w:r>
              <w:rPr>
                <w:rFonts w:ascii="Muli" w:eastAsia="Muli" w:hAnsi="Muli" w:cs="Muli"/>
                <w:b/>
                <w:color w:val="2F5496"/>
                <w:sz w:val="20"/>
                <w:szCs w:val="20"/>
              </w:rPr>
              <w:t>The Module materials are High Quality 5 in regards to TS1.</w:t>
            </w:r>
          </w:p>
          <w:p w14:paraId="1BBA173B" w14:textId="77777777" w:rsidR="003959B7" w:rsidRDefault="00C5473B">
            <w:pPr>
              <w:pStyle w:val="normal0"/>
              <w:spacing w:before="44"/>
              <w:ind w:left="100" w:right="122"/>
              <w:rPr>
                <w:rFonts w:ascii="Muli" w:eastAsia="Muli" w:hAnsi="Muli" w:cs="Muli"/>
                <w:b/>
                <w:color w:val="2F5496"/>
                <w:sz w:val="20"/>
                <w:szCs w:val="20"/>
              </w:rPr>
            </w:pPr>
            <w:r>
              <w:rPr>
                <w:rFonts w:ascii="Muli" w:eastAsia="Muli" w:hAnsi="Muli" w:cs="Muli"/>
                <w:sz w:val="20"/>
                <w:szCs w:val="20"/>
              </w:rPr>
              <w:t>They provide clear guidance to teachers on how students develop, use, and integrate the three dimensions to make sense of phenomena or design solutions to problems.</w:t>
            </w:r>
          </w:p>
        </w:tc>
      </w:tr>
      <w:tr w:rsidR="003959B7" w14:paraId="1445BF09" w14:textId="77777777" w:rsidTr="00D019D8">
        <w:trPr>
          <w:trHeight w:val="77"/>
        </w:trPr>
        <w:tc>
          <w:tcPr>
            <w:tcW w:w="14614" w:type="dxa"/>
            <w:gridSpan w:val="2"/>
          </w:tcPr>
          <w:p w14:paraId="750BF385" w14:textId="77777777" w:rsidR="003959B7" w:rsidRDefault="003959B7">
            <w:pPr>
              <w:pStyle w:val="normal0"/>
              <w:spacing w:before="44"/>
              <w:ind w:left="180" w:right="122"/>
              <w:rPr>
                <w:rFonts w:ascii="Muli" w:eastAsia="Muli" w:hAnsi="Muli" w:cs="Muli"/>
                <w:b/>
                <w:sz w:val="20"/>
                <w:szCs w:val="20"/>
              </w:rPr>
            </w:pPr>
          </w:p>
          <w:p w14:paraId="668A3B10" w14:textId="77777777" w:rsidR="003959B7" w:rsidRDefault="00C5473B">
            <w:pPr>
              <w:pStyle w:val="normal0"/>
              <w:spacing w:before="44"/>
              <w:ind w:left="180" w:right="122"/>
              <w:rPr>
                <w:rFonts w:ascii="Muli" w:eastAsia="Muli" w:hAnsi="Muli" w:cs="Muli"/>
                <w:b/>
                <w:color w:val="FF126D"/>
                <w:sz w:val="20"/>
                <w:szCs w:val="20"/>
              </w:rPr>
            </w:pPr>
            <w:r>
              <w:rPr>
                <w:rFonts w:ascii="Muli" w:eastAsia="Muli" w:hAnsi="Muli" w:cs="Muli"/>
                <w:b/>
                <w:color w:val="FF126D"/>
                <w:sz w:val="20"/>
                <w:szCs w:val="20"/>
              </w:rPr>
              <w:t>Evidence</w:t>
            </w:r>
          </w:p>
          <w:p w14:paraId="6008B77E" w14:textId="77777777" w:rsidR="003959B7" w:rsidRDefault="00C5473B">
            <w:pPr>
              <w:pStyle w:val="normal0"/>
              <w:numPr>
                <w:ilvl w:val="0"/>
                <w:numId w:val="22"/>
              </w:numPr>
              <w:contextualSpacing/>
              <w:rPr>
                <w:rFonts w:ascii="Muli" w:eastAsia="Muli" w:hAnsi="Muli" w:cs="Muli"/>
                <w:sz w:val="20"/>
                <w:szCs w:val="20"/>
              </w:rPr>
            </w:pPr>
            <w:r>
              <w:rPr>
                <w:rFonts w:ascii="Muli" w:eastAsia="Muli" w:hAnsi="Muli" w:cs="Muli"/>
                <w:sz w:val="20"/>
                <w:szCs w:val="20"/>
              </w:rPr>
              <w:t>In DQ1, students start by exploring what plants need to grow. They set up an investigation into plant needs, applying the concepts of scale, proportion, and quantity (CCC-3), and observe the Van Helmont experiment set up in Module 1. Through observations and reading an informational text, they explore the phenomena of matter and energy flow in organisms (LS1.C).</w:t>
            </w:r>
          </w:p>
          <w:p w14:paraId="49743F14" w14:textId="77777777" w:rsidR="003959B7" w:rsidRDefault="00C5473B">
            <w:pPr>
              <w:pStyle w:val="normal0"/>
              <w:numPr>
                <w:ilvl w:val="0"/>
                <w:numId w:val="22"/>
              </w:numPr>
              <w:contextualSpacing/>
              <w:rPr>
                <w:rFonts w:ascii="Muli" w:eastAsia="Muli" w:hAnsi="Muli" w:cs="Muli"/>
                <w:sz w:val="20"/>
                <w:szCs w:val="20"/>
              </w:rPr>
            </w:pPr>
            <w:r>
              <w:rPr>
                <w:rFonts w:ascii="Muli" w:eastAsia="Muli" w:hAnsi="Muli" w:cs="Muli"/>
                <w:sz w:val="20"/>
                <w:szCs w:val="20"/>
              </w:rPr>
              <w:t xml:space="preserve">In DQ2, students explore the phenomenon of matter and energy flow in ecosystems, engaging in video and reading investigations. They apply the concepts of energy and matter (CCC-5) and systems and system models (CCC-4) to model food chains and food webs. This culminates in students writing scientific explanations to answer the Driving Question. </w:t>
            </w:r>
          </w:p>
          <w:p w14:paraId="0BA4C819" w14:textId="77777777" w:rsidR="003959B7" w:rsidRDefault="00C5473B">
            <w:pPr>
              <w:pStyle w:val="normal0"/>
              <w:numPr>
                <w:ilvl w:val="0"/>
                <w:numId w:val="22"/>
              </w:numPr>
              <w:contextualSpacing/>
              <w:rPr>
                <w:rFonts w:ascii="Muli" w:eastAsia="Muli" w:hAnsi="Muli" w:cs="Muli"/>
                <w:sz w:val="20"/>
                <w:szCs w:val="20"/>
              </w:rPr>
            </w:pPr>
            <w:r>
              <w:rPr>
                <w:rFonts w:ascii="Muli" w:eastAsia="Muli" w:hAnsi="Muli" w:cs="Muli"/>
                <w:sz w:val="20"/>
                <w:szCs w:val="20"/>
              </w:rPr>
              <w:t xml:space="preserve">In DQ3, students review and analyze the data from their two hands-on plant investigations and evaluate their findings. They consolidate their learning of matter and energy flow in organisms (LS1.C) by writing arguments from evidence that explain where plants get matter to grow. </w:t>
            </w:r>
          </w:p>
          <w:p w14:paraId="4B9D14CA" w14:textId="77777777" w:rsidR="003959B7" w:rsidRDefault="00C5473B">
            <w:pPr>
              <w:pStyle w:val="normal0"/>
              <w:numPr>
                <w:ilvl w:val="0"/>
                <w:numId w:val="22"/>
              </w:numPr>
              <w:contextualSpacing/>
              <w:rPr>
                <w:rFonts w:ascii="Muli" w:eastAsia="Muli" w:hAnsi="Muli" w:cs="Muli"/>
                <w:sz w:val="20"/>
                <w:szCs w:val="20"/>
              </w:rPr>
            </w:pPr>
            <w:r>
              <w:rPr>
                <w:rFonts w:ascii="Muli" w:eastAsia="Muli" w:hAnsi="Muli" w:cs="Muli"/>
                <w:sz w:val="20"/>
                <w:szCs w:val="20"/>
              </w:rPr>
              <w:t xml:space="preserve">In DQ4, students activate prior knowledge of energy, exploring the phenomenon of energy in chemical processes and everyday life (PS3.D). They close read an informational text and use an interactive to model food chains, and apply the concept of cause and effect (CCC-2) to construct explanations about how energy moves through the food chain. </w:t>
            </w:r>
          </w:p>
          <w:p w14:paraId="64335B94" w14:textId="77777777" w:rsidR="003959B7" w:rsidRDefault="00C5473B">
            <w:pPr>
              <w:pStyle w:val="normal0"/>
              <w:numPr>
                <w:ilvl w:val="0"/>
                <w:numId w:val="22"/>
              </w:numPr>
              <w:contextualSpacing/>
              <w:rPr>
                <w:rFonts w:ascii="Muli" w:eastAsia="Muli" w:hAnsi="Muli" w:cs="Muli"/>
                <w:sz w:val="20"/>
                <w:szCs w:val="20"/>
              </w:rPr>
            </w:pPr>
            <w:r>
              <w:rPr>
                <w:rFonts w:ascii="Muli" w:eastAsia="Muli" w:hAnsi="Muli" w:cs="Muli"/>
                <w:sz w:val="20"/>
                <w:szCs w:val="20"/>
              </w:rPr>
              <w:t xml:space="preserve">In DQ5, students turn to decomposition. They apply the concept of energy and matter (CCC-5) as they observe a guided experiment and then embark on a hands-on investigation to observe decomposition in the field. Their explorations and data collection culminate in written arguments they share with the class, demonstrating their grasp of cycles of matter and energy transfers in an ecosystem (LS2.B). </w:t>
            </w:r>
          </w:p>
          <w:p w14:paraId="26E758C8" w14:textId="414D4DF0" w:rsidR="003959B7" w:rsidRDefault="00C5473B" w:rsidP="00AF6C9D">
            <w:pPr>
              <w:pStyle w:val="normal0"/>
              <w:numPr>
                <w:ilvl w:val="0"/>
                <w:numId w:val="22"/>
              </w:numPr>
              <w:contextualSpacing/>
              <w:rPr>
                <w:rFonts w:ascii="Muli" w:eastAsia="Muli" w:hAnsi="Muli" w:cs="Muli"/>
                <w:b/>
                <w:color w:val="2F5496"/>
                <w:sz w:val="20"/>
                <w:szCs w:val="20"/>
              </w:rPr>
            </w:pPr>
            <w:r>
              <w:rPr>
                <w:rFonts w:ascii="Muli" w:eastAsia="Muli" w:hAnsi="Muli" w:cs="Muli"/>
                <w:sz w:val="20"/>
                <w:szCs w:val="20"/>
              </w:rPr>
              <w:t xml:space="preserve">In DQ6, students close the module with a focus on interdependent relationships in ecosystems (LS2.A). They apply the concepts of cause and effect (CCC-2) and stability and change (CCC-7) to examine what happens when a non-native species is introduced to an ecosystem. They explore this idea using an interactive and a final digital and video investigation. </w:t>
            </w:r>
          </w:p>
        </w:tc>
      </w:tr>
      <w:tr w:rsidR="003959B7" w14:paraId="6ECC0451" w14:textId="77777777" w:rsidTr="00D019D8">
        <w:trPr>
          <w:trHeight w:val="360"/>
        </w:trPr>
        <w:tc>
          <w:tcPr>
            <w:tcW w:w="14614" w:type="dxa"/>
            <w:gridSpan w:val="2"/>
            <w:shd w:val="clear" w:color="auto" w:fill="CCCCCC"/>
          </w:tcPr>
          <w:p w14:paraId="52BE6F98" w14:textId="77777777" w:rsidR="003959B7" w:rsidRDefault="00C5473B">
            <w:pPr>
              <w:pStyle w:val="normal0"/>
              <w:spacing w:before="42"/>
              <w:ind w:left="100"/>
              <w:rPr>
                <w:rFonts w:ascii="Muli" w:eastAsia="Muli" w:hAnsi="Muli" w:cs="Muli"/>
                <w:b/>
                <w:sz w:val="20"/>
                <w:szCs w:val="20"/>
              </w:rPr>
            </w:pPr>
            <w:r>
              <w:rPr>
                <w:rFonts w:ascii="Muli" w:eastAsia="Muli" w:hAnsi="Muli" w:cs="Muli"/>
                <w:b/>
                <w:sz w:val="20"/>
                <w:szCs w:val="20"/>
              </w:rPr>
              <w:lastRenderedPageBreak/>
              <w:t>TS2. Coherence.</w:t>
            </w:r>
          </w:p>
        </w:tc>
      </w:tr>
      <w:tr w:rsidR="003959B7" w14:paraId="7EE493C3" w14:textId="77777777" w:rsidTr="00D019D8">
        <w:trPr>
          <w:trHeight w:val="900"/>
        </w:trPr>
        <w:tc>
          <w:tcPr>
            <w:tcW w:w="14614" w:type="dxa"/>
            <w:gridSpan w:val="2"/>
            <w:shd w:val="clear" w:color="auto" w:fill="EFEFEF"/>
          </w:tcPr>
          <w:p w14:paraId="23CE790F"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TS2.</w:t>
            </w:r>
          </w:p>
          <w:p w14:paraId="43070200" w14:textId="77777777" w:rsidR="003959B7" w:rsidRDefault="00C5473B">
            <w:pPr>
              <w:pStyle w:val="normal0"/>
              <w:spacing w:before="42"/>
              <w:ind w:left="100"/>
              <w:rPr>
                <w:rFonts w:ascii="Muli" w:eastAsia="Muli" w:hAnsi="Muli" w:cs="Muli"/>
                <w:b/>
                <w:sz w:val="20"/>
                <w:szCs w:val="20"/>
              </w:rPr>
            </w:pPr>
            <w:r>
              <w:rPr>
                <w:rFonts w:ascii="Muli" w:eastAsia="Muli" w:hAnsi="Muli" w:cs="Muli"/>
                <w:sz w:val="20"/>
                <w:szCs w:val="20"/>
              </w:rPr>
              <w:t>They provide teachers with a clear conceptual framework in a logical sequence, strategies for linking student experiences across lessons, and connections to other science domains, CNS (NoS), CETAS (ETS), math, and ELA.</w:t>
            </w:r>
          </w:p>
        </w:tc>
      </w:tr>
      <w:tr w:rsidR="003959B7" w14:paraId="1EEDB931" w14:textId="77777777" w:rsidTr="00D019D8">
        <w:trPr>
          <w:trHeight w:val="8851"/>
        </w:trPr>
        <w:tc>
          <w:tcPr>
            <w:tcW w:w="9949" w:type="dxa"/>
          </w:tcPr>
          <w:p w14:paraId="220590E9" w14:textId="77777777" w:rsidR="003959B7" w:rsidRDefault="003959B7">
            <w:pPr>
              <w:pStyle w:val="normal0"/>
              <w:spacing w:before="42"/>
              <w:ind w:left="180"/>
              <w:rPr>
                <w:rFonts w:ascii="Muli" w:eastAsia="Muli" w:hAnsi="Muli" w:cs="Muli"/>
                <w:b/>
                <w:sz w:val="20"/>
                <w:szCs w:val="20"/>
              </w:rPr>
            </w:pPr>
          </w:p>
          <w:p w14:paraId="4A94F1DE" w14:textId="77777777" w:rsidR="003959B7" w:rsidRDefault="00C5473B">
            <w:pPr>
              <w:pStyle w:val="normal0"/>
              <w:spacing w:before="42"/>
              <w:ind w:left="180"/>
              <w:rPr>
                <w:rFonts w:ascii="Muli" w:eastAsia="Muli" w:hAnsi="Muli" w:cs="Muli"/>
                <w:b/>
                <w:color w:val="FF126D"/>
                <w:sz w:val="20"/>
                <w:szCs w:val="20"/>
              </w:rPr>
            </w:pPr>
            <w:r>
              <w:rPr>
                <w:rFonts w:ascii="Muli" w:eastAsia="Muli" w:hAnsi="Muli" w:cs="Muli"/>
                <w:b/>
                <w:color w:val="FF126D"/>
                <w:sz w:val="20"/>
                <w:szCs w:val="20"/>
              </w:rPr>
              <w:t>Evidence</w:t>
            </w:r>
          </w:p>
          <w:p w14:paraId="4F0FA677" w14:textId="77777777" w:rsidR="003959B7" w:rsidRDefault="00C5473B">
            <w:pPr>
              <w:pStyle w:val="normal0"/>
              <w:numPr>
                <w:ilvl w:val="0"/>
                <w:numId w:val="24"/>
              </w:numPr>
              <w:contextualSpacing/>
              <w:rPr>
                <w:rFonts w:ascii="Muli" w:eastAsia="Muli" w:hAnsi="Muli" w:cs="Muli"/>
                <w:sz w:val="20"/>
                <w:szCs w:val="20"/>
              </w:rPr>
            </w:pPr>
            <w:r>
              <w:rPr>
                <w:rFonts w:ascii="Muli" w:eastAsia="Muli" w:hAnsi="Muli" w:cs="Muli"/>
                <w:sz w:val="20"/>
                <w:szCs w:val="20"/>
              </w:rPr>
              <w:t xml:space="preserve">The instructional materials have been designed to support the teacher to guide students on a scaffolded learning journey to solve the Module Phenomenon: How do matter and energy move through an ecosystem? They tackle the problem one Driving Question at a time, applying the three dimensions with increasing sophistication, building the skills and knowledge they need through a series of investigations. </w:t>
            </w:r>
          </w:p>
          <w:p w14:paraId="267214C0" w14:textId="77777777" w:rsidR="003959B7" w:rsidRDefault="00C5473B">
            <w:pPr>
              <w:pStyle w:val="normal0"/>
              <w:numPr>
                <w:ilvl w:val="0"/>
                <w:numId w:val="24"/>
              </w:numPr>
              <w:contextualSpacing/>
              <w:rPr>
                <w:rFonts w:ascii="Muli" w:eastAsia="Muli" w:hAnsi="Muli" w:cs="Muli"/>
                <w:sz w:val="20"/>
                <w:szCs w:val="20"/>
              </w:rPr>
            </w:pPr>
            <w:r>
              <w:rPr>
                <w:rFonts w:ascii="Muli" w:eastAsia="Muli" w:hAnsi="Muli" w:cs="Muli"/>
                <w:sz w:val="20"/>
                <w:szCs w:val="20"/>
              </w:rPr>
              <w:t xml:space="preserve">A digital guide to SEPs and CCCs provides a clear explanation for each practice and concept with guidance on what these skills should look like in a 5th grade classroom, with specific reference for how students ask questions and develop investigations in Grade 5 Module 2. </w:t>
            </w:r>
          </w:p>
          <w:p w14:paraId="0192C459" w14:textId="77777777" w:rsidR="003959B7" w:rsidRDefault="00C5473B">
            <w:pPr>
              <w:pStyle w:val="normal0"/>
              <w:numPr>
                <w:ilvl w:val="0"/>
                <w:numId w:val="24"/>
              </w:numPr>
              <w:contextualSpacing/>
              <w:rPr>
                <w:rFonts w:ascii="Muli" w:eastAsia="Muli" w:hAnsi="Muli" w:cs="Muli"/>
                <w:sz w:val="20"/>
                <w:szCs w:val="20"/>
              </w:rPr>
            </w:pPr>
            <w:r>
              <w:rPr>
                <w:rFonts w:ascii="Muli" w:eastAsia="Muli" w:hAnsi="Muli" w:cs="Muli"/>
                <w:sz w:val="20"/>
                <w:szCs w:val="20"/>
              </w:rPr>
              <w:t xml:space="preserve">Additional module-specific support is frequently given at point of use in the instructional materials for all dimensions, Connections to the Nature of Science (CNS) and Connecting to Engineering, Technology, and Applications of Science (CETAS), often in the Connect. For example, in </w:t>
            </w:r>
            <w:r>
              <w:rPr>
                <w:rFonts w:ascii="Muli" w:eastAsia="Muli" w:hAnsi="Muli" w:cs="Muli"/>
                <w:b/>
                <w:color w:val="FF126D"/>
                <w:sz w:val="20"/>
                <w:szCs w:val="20"/>
              </w:rPr>
              <w:t>DQ1L2 TE Connect p. 19</w:t>
            </w:r>
            <w:r>
              <w:rPr>
                <w:rFonts w:ascii="Muli" w:eastAsia="Muli" w:hAnsi="Muli" w:cs="Muli"/>
                <w:sz w:val="20"/>
                <w:szCs w:val="20"/>
              </w:rPr>
              <w:t>, support is given on connecting the learning activity to CCC-3 Scale, Proportion, and Quantity.</w:t>
            </w:r>
          </w:p>
          <w:p w14:paraId="76833F74" w14:textId="77777777" w:rsidR="003959B7" w:rsidRDefault="00C5473B">
            <w:pPr>
              <w:pStyle w:val="normal0"/>
              <w:numPr>
                <w:ilvl w:val="0"/>
                <w:numId w:val="24"/>
              </w:numPr>
              <w:contextualSpacing/>
              <w:rPr>
                <w:rFonts w:ascii="Muli" w:eastAsia="Muli" w:hAnsi="Muli" w:cs="Muli"/>
                <w:sz w:val="20"/>
                <w:szCs w:val="20"/>
              </w:rPr>
            </w:pPr>
            <w:r>
              <w:rPr>
                <w:rFonts w:ascii="Muli" w:eastAsia="Muli" w:hAnsi="Muli" w:cs="Muli"/>
                <w:sz w:val="20"/>
                <w:szCs w:val="20"/>
              </w:rPr>
              <w:t>Opportunities to articulate, question, and revise students’ conceptual framework are woven into the instructional resources with teachers supported with continuous assessment for learning strategies and with support for how to tailor instruction accordingly.</w:t>
            </w:r>
          </w:p>
        </w:tc>
        <w:tc>
          <w:tcPr>
            <w:tcW w:w="4665" w:type="dxa"/>
          </w:tcPr>
          <w:p w14:paraId="24263D07" w14:textId="77777777" w:rsidR="003959B7" w:rsidRDefault="00C5473B">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591C6E15" wp14:editId="32B80A60">
                  <wp:extent cx="2793365" cy="1982388"/>
                  <wp:effectExtent l="12700" t="12700" r="12700" b="1270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2793365" cy="1982388"/>
                          </a:xfrm>
                          <a:prstGeom prst="rect">
                            <a:avLst/>
                          </a:prstGeom>
                          <a:ln w="12700">
                            <a:solidFill>
                              <a:srgbClr val="CCCCCC"/>
                            </a:solidFill>
                            <a:prstDash val="solid"/>
                          </a:ln>
                        </pic:spPr>
                      </pic:pic>
                    </a:graphicData>
                  </a:graphic>
                </wp:inline>
              </w:drawing>
            </w:r>
          </w:p>
          <w:p w14:paraId="6A000C88" w14:textId="77777777" w:rsidR="003959B7" w:rsidRDefault="00C5473B">
            <w:pPr>
              <w:pStyle w:val="normal0"/>
              <w:ind w:firstLine="90"/>
              <w:rPr>
                <w:rFonts w:ascii="Muli" w:eastAsia="Muli" w:hAnsi="Muli" w:cs="Muli"/>
                <w:b/>
                <w:color w:val="2F5496"/>
                <w:sz w:val="20"/>
                <w:szCs w:val="20"/>
              </w:rPr>
            </w:pPr>
            <w:r>
              <w:rPr>
                <w:rFonts w:ascii="Muli" w:eastAsia="Muli" w:hAnsi="Muli" w:cs="Muli"/>
                <w:b/>
                <w:color w:val="FF126D"/>
                <w:sz w:val="20"/>
                <w:szCs w:val="20"/>
              </w:rPr>
              <w:t>DQ1L2 TE Connect p. 19</w:t>
            </w:r>
          </w:p>
        </w:tc>
      </w:tr>
      <w:tr w:rsidR="003959B7" w14:paraId="3CA430CF" w14:textId="77777777" w:rsidTr="00D019D8">
        <w:trPr>
          <w:trHeight w:val="400"/>
        </w:trPr>
        <w:tc>
          <w:tcPr>
            <w:tcW w:w="14614" w:type="dxa"/>
            <w:gridSpan w:val="2"/>
            <w:shd w:val="clear" w:color="auto" w:fill="CCCCCC"/>
          </w:tcPr>
          <w:p w14:paraId="20E642FA" w14:textId="77777777" w:rsidR="003959B7" w:rsidRDefault="00C5473B">
            <w:pPr>
              <w:pStyle w:val="normal0"/>
              <w:spacing w:before="44"/>
              <w:ind w:left="100" w:right="253"/>
              <w:rPr>
                <w:rFonts w:ascii="Muli" w:eastAsia="Muli" w:hAnsi="Muli" w:cs="Muli"/>
                <w:b/>
                <w:sz w:val="20"/>
                <w:szCs w:val="20"/>
              </w:rPr>
            </w:pPr>
            <w:r>
              <w:rPr>
                <w:rFonts w:ascii="Muli" w:eastAsia="Muli" w:hAnsi="Muli" w:cs="Muli"/>
                <w:b/>
                <w:sz w:val="20"/>
                <w:szCs w:val="20"/>
              </w:rPr>
              <w:lastRenderedPageBreak/>
              <w:t>TS3. Effective Teaching.</w:t>
            </w:r>
          </w:p>
        </w:tc>
      </w:tr>
      <w:tr w:rsidR="003959B7" w14:paraId="6329A2F2" w14:textId="77777777" w:rsidTr="00D019D8">
        <w:trPr>
          <w:trHeight w:val="900"/>
        </w:trPr>
        <w:tc>
          <w:tcPr>
            <w:tcW w:w="14614" w:type="dxa"/>
            <w:gridSpan w:val="2"/>
            <w:shd w:val="clear" w:color="auto" w:fill="EFEFEF"/>
          </w:tcPr>
          <w:p w14:paraId="01F153B0"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TS3.</w:t>
            </w:r>
          </w:p>
          <w:p w14:paraId="22243C4A"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guidance to support students in learning through authentic and meaningful phenomena/problems, support student learning across the three dimensions, and develop students’ metacognitive abilities.</w:t>
            </w:r>
          </w:p>
        </w:tc>
      </w:tr>
      <w:tr w:rsidR="003959B7" w14:paraId="17EBD175" w14:textId="77777777" w:rsidTr="00D019D8">
        <w:trPr>
          <w:trHeight w:val="2400"/>
        </w:trPr>
        <w:tc>
          <w:tcPr>
            <w:tcW w:w="9949" w:type="dxa"/>
          </w:tcPr>
          <w:p w14:paraId="4F5D1A5F" w14:textId="77777777" w:rsidR="003959B7" w:rsidRDefault="003959B7">
            <w:pPr>
              <w:pStyle w:val="normal0"/>
              <w:spacing w:before="42"/>
              <w:ind w:left="180"/>
              <w:rPr>
                <w:rFonts w:ascii="Muli" w:eastAsia="Muli" w:hAnsi="Muli" w:cs="Muli"/>
                <w:b/>
                <w:sz w:val="20"/>
                <w:szCs w:val="20"/>
              </w:rPr>
            </w:pPr>
          </w:p>
          <w:p w14:paraId="41C97D09" w14:textId="77777777" w:rsidR="003959B7" w:rsidRDefault="00C5473B">
            <w:pPr>
              <w:pStyle w:val="normal0"/>
              <w:spacing w:before="42"/>
              <w:ind w:left="180"/>
              <w:rPr>
                <w:rFonts w:ascii="Muli" w:eastAsia="Muli" w:hAnsi="Muli" w:cs="Muli"/>
                <w:b/>
                <w:color w:val="FF126D"/>
                <w:sz w:val="20"/>
                <w:szCs w:val="20"/>
              </w:rPr>
            </w:pPr>
            <w:r>
              <w:rPr>
                <w:rFonts w:ascii="Muli" w:eastAsia="Muli" w:hAnsi="Muli" w:cs="Muli"/>
                <w:b/>
                <w:color w:val="FF126D"/>
                <w:sz w:val="20"/>
                <w:szCs w:val="20"/>
              </w:rPr>
              <w:t>Evidence</w:t>
            </w:r>
          </w:p>
          <w:p w14:paraId="69CEA9E5" w14:textId="77777777" w:rsidR="003959B7" w:rsidRDefault="00C5473B">
            <w:pPr>
              <w:pStyle w:val="normal0"/>
              <w:numPr>
                <w:ilvl w:val="0"/>
                <w:numId w:val="17"/>
              </w:numPr>
              <w:contextualSpacing/>
              <w:rPr>
                <w:rFonts w:ascii="Muli" w:eastAsia="Muli" w:hAnsi="Muli" w:cs="Muli"/>
                <w:sz w:val="20"/>
                <w:szCs w:val="20"/>
              </w:rPr>
            </w:pPr>
            <w:r>
              <w:rPr>
                <w:rFonts w:ascii="Muli" w:eastAsia="Muli" w:hAnsi="Muli" w:cs="Muli"/>
                <w:sz w:val="20"/>
                <w:szCs w:val="20"/>
              </w:rPr>
              <w:t xml:space="preserve">The teacher is supported in the instructional material to connect their learning experiences back to the Module Phenomenon at strategic points with frequent class discussions where students share their ideas and evidence. For example, in </w:t>
            </w:r>
            <w:r>
              <w:rPr>
                <w:rFonts w:ascii="Muli" w:eastAsia="Muli" w:hAnsi="Muli" w:cs="Muli"/>
                <w:b/>
                <w:color w:val="FF126D"/>
                <w:sz w:val="20"/>
                <w:szCs w:val="20"/>
              </w:rPr>
              <w:t>DQ4L4 TE p. 149</w:t>
            </w:r>
            <w:r>
              <w:rPr>
                <w:rFonts w:ascii="Muli" w:eastAsia="Muli" w:hAnsi="Muli" w:cs="Muli"/>
                <w:sz w:val="20"/>
                <w:szCs w:val="20"/>
              </w:rPr>
              <w:t>, the teacher leads a discussion of matter and energy flow, encouraging students to connect their learning to a reading investigation from DQ3.</w:t>
            </w:r>
          </w:p>
          <w:p w14:paraId="3858980C" w14:textId="77777777" w:rsidR="003959B7" w:rsidRDefault="003959B7">
            <w:pPr>
              <w:pStyle w:val="normal0"/>
              <w:spacing w:before="42"/>
              <w:rPr>
                <w:rFonts w:ascii="Muli" w:eastAsia="Muli" w:hAnsi="Muli" w:cs="Muli"/>
                <w:b/>
                <w:color w:val="2F5496"/>
                <w:sz w:val="20"/>
                <w:szCs w:val="20"/>
              </w:rPr>
            </w:pPr>
          </w:p>
        </w:tc>
        <w:tc>
          <w:tcPr>
            <w:tcW w:w="4665" w:type="dxa"/>
          </w:tcPr>
          <w:p w14:paraId="39CDE6BE" w14:textId="77777777" w:rsidR="003959B7" w:rsidRDefault="00C5473B">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5972CA2F" wp14:editId="23C34797">
                  <wp:extent cx="2808605" cy="1241222"/>
                  <wp:effectExtent l="12700" t="12700" r="12700" b="1270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808605" cy="1241222"/>
                          </a:xfrm>
                          <a:prstGeom prst="rect">
                            <a:avLst/>
                          </a:prstGeom>
                          <a:ln w="12700">
                            <a:solidFill>
                              <a:srgbClr val="EFEFEF"/>
                            </a:solidFill>
                            <a:prstDash val="solid"/>
                          </a:ln>
                        </pic:spPr>
                      </pic:pic>
                    </a:graphicData>
                  </a:graphic>
                </wp:inline>
              </w:drawing>
            </w:r>
          </w:p>
          <w:p w14:paraId="2B19CD75" w14:textId="77777777" w:rsidR="003959B7" w:rsidRDefault="00C5473B">
            <w:pPr>
              <w:pStyle w:val="normal0"/>
              <w:ind w:firstLine="90"/>
              <w:rPr>
                <w:rFonts w:ascii="Muli" w:eastAsia="Muli" w:hAnsi="Muli" w:cs="Muli"/>
                <w:b/>
                <w:color w:val="2F5496"/>
                <w:sz w:val="20"/>
                <w:szCs w:val="20"/>
              </w:rPr>
            </w:pPr>
            <w:r>
              <w:rPr>
                <w:rFonts w:ascii="Muli" w:eastAsia="Muli" w:hAnsi="Muli" w:cs="Muli"/>
                <w:b/>
                <w:color w:val="FF126D"/>
                <w:sz w:val="20"/>
                <w:szCs w:val="20"/>
              </w:rPr>
              <w:t>DQ4L4 TE p. 149</w:t>
            </w:r>
          </w:p>
        </w:tc>
      </w:tr>
      <w:tr w:rsidR="003959B7" w14:paraId="089C93DC" w14:textId="77777777" w:rsidTr="00D019D8">
        <w:trPr>
          <w:trHeight w:val="6308"/>
        </w:trPr>
        <w:tc>
          <w:tcPr>
            <w:tcW w:w="9949" w:type="dxa"/>
          </w:tcPr>
          <w:p w14:paraId="4CCF21B6" w14:textId="77777777" w:rsidR="003959B7" w:rsidRDefault="00C5473B">
            <w:pPr>
              <w:pStyle w:val="normal0"/>
              <w:numPr>
                <w:ilvl w:val="0"/>
                <w:numId w:val="17"/>
              </w:numPr>
              <w:contextualSpacing/>
              <w:rPr>
                <w:rFonts w:ascii="Muli" w:eastAsia="Muli" w:hAnsi="Muli" w:cs="Muli"/>
                <w:sz w:val="20"/>
                <w:szCs w:val="20"/>
              </w:rPr>
            </w:pPr>
            <w:r>
              <w:rPr>
                <w:rFonts w:ascii="Muli" w:eastAsia="Muli" w:hAnsi="Muli" w:cs="Muli"/>
                <w:sz w:val="20"/>
                <w:szCs w:val="20"/>
              </w:rPr>
              <w:t xml:space="preserve">The instructional materials are designed to elicit students' understanding of matter and energy at the start of the module and then develop their understanding over time, through hands-on, reading, digital, video and data investigations. </w:t>
            </w:r>
          </w:p>
          <w:p w14:paraId="414D2366" w14:textId="77777777" w:rsidR="003959B7" w:rsidRDefault="00C5473B">
            <w:pPr>
              <w:pStyle w:val="normal0"/>
              <w:numPr>
                <w:ilvl w:val="0"/>
                <w:numId w:val="17"/>
              </w:numPr>
              <w:contextualSpacing/>
              <w:rPr>
                <w:rFonts w:ascii="Muli" w:eastAsia="Muli" w:hAnsi="Muli" w:cs="Muli"/>
                <w:sz w:val="20"/>
                <w:szCs w:val="20"/>
              </w:rPr>
            </w:pPr>
            <w:r>
              <w:rPr>
                <w:rFonts w:ascii="Muli" w:eastAsia="Muli" w:hAnsi="Muli" w:cs="Muli"/>
                <w:sz w:val="20"/>
                <w:szCs w:val="20"/>
              </w:rPr>
              <w:t>Support is given at point of use for how to develop students' metacognitive abilities. The Connect of the lesson often guides the teacher to draw students' attention to their growing use of the SEPs and CCCs, understanding of the DQ, or increasing ability to answer the Module Phenomenon (e.g., connecting to CCC-3 in</w:t>
            </w:r>
            <w:r>
              <w:rPr>
                <w:rFonts w:ascii="Muli" w:eastAsia="Muli" w:hAnsi="Muli" w:cs="Muli"/>
                <w:b/>
                <w:color w:val="FF126D"/>
                <w:sz w:val="20"/>
                <w:szCs w:val="20"/>
              </w:rPr>
              <w:t xml:space="preserve"> DQ1L2 TE p. 19</w:t>
            </w:r>
            <w:r>
              <w:rPr>
                <w:rFonts w:ascii="Muli" w:eastAsia="Muli" w:hAnsi="Muli" w:cs="Muli"/>
                <w:sz w:val="20"/>
                <w:szCs w:val="20"/>
              </w:rPr>
              <w:t>, and SEP-2 and SEP-3 in</w:t>
            </w:r>
            <w:r>
              <w:rPr>
                <w:rFonts w:ascii="Muli" w:eastAsia="Muli" w:hAnsi="Muli" w:cs="Muli"/>
                <w:color w:val="FF0000"/>
                <w:sz w:val="20"/>
                <w:szCs w:val="20"/>
              </w:rPr>
              <w:t xml:space="preserve"> </w:t>
            </w:r>
            <w:r>
              <w:rPr>
                <w:rFonts w:ascii="Muli" w:eastAsia="Muli" w:hAnsi="Muli" w:cs="Muli"/>
                <w:b/>
                <w:color w:val="FF126D"/>
                <w:sz w:val="20"/>
                <w:szCs w:val="20"/>
              </w:rPr>
              <w:t>DQ6L1 TE p. 200</w:t>
            </w:r>
            <w:r>
              <w:rPr>
                <w:rFonts w:ascii="Muli" w:eastAsia="Muli" w:hAnsi="Muli" w:cs="Muli"/>
                <w:sz w:val="20"/>
                <w:szCs w:val="20"/>
              </w:rPr>
              <w:t>).</w:t>
            </w:r>
          </w:p>
          <w:p w14:paraId="4753E98E" w14:textId="77777777" w:rsidR="003959B7" w:rsidRDefault="00C5473B">
            <w:pPr>
              <w:pStyle w:val="normal0"/>
              <w:numPr>
                <w:ilvl w:val="0"/>
                <w:numId w:val="17"/>
              </w:numPr>
              <w:contextualSpacing/>
              <w:rPr>
                <w:rFonts w:ascii="Muli" w:eastAsia="Muli" w:hAnsi="Muli" w:cs="Muli"/>
                <w:sz w:val="20"/>
                <w:szCs w:val="20"/>
              </w:rPr>
            </w:pPr>
            <w:r>
              <w:rPr>
                <w:rFonts w:ascii="Muli" w:eastAsia="Muli" w:hAnsi="Muli" w:cs="Muli"/>
                <w:sz w:val="20"/>
                <w:szCs w:val="20"/>
              </w:rPr>
              <w:t xml:space="preserve">Teachers can elect to administer the Pre-Explorations, Benchmark Assessment, and Multiple Choice assessments digitally or in print. Answers are tagged to specific dimensions and, if administered digitally, teachers will be able to track student growth in level of attainment of the dimensions over time and tailor instruction accordingly. Teachers can also provide students with feedback digitally. Teachers can opt to add the scores manually for all non-digital assessment tasks. </w:t>
            </w:r>
          </w:p>
        </w:tc>
        <w:tc>
          <w:tcPr>
            <w:tcW w:w="4665" w:type="dxa"/>
          </w:tcPr>
          <w:p w14:paraId="7933BCD5"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159E2F85" wp14:editId="7091B59D">
                  <wp:extent cx="2808605" cy="1993204"/>
                  <wp:effectExtent l="12700" t="12700" r="12700" b="1270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2808605" cy="1993204"/>
                          </a:xfrm>
                          <a:prstGeom prst="rect">
                            <a:avLst/>
                          </a:prstGeom>
                          <a:ln w="12700">
                            <a:solidFill>
                              <a:srgbClr val="D9D9D9"/>
                            </a:solidFill>
                            <a:prstDash val="solid"/>
                          </a:ln>
                        </pic:spPr>
                      </pic:pic>
                    </a:graphicData>
                  </a:graphic>
                </wp:inline>
              </w:drawing>
            </w:r>
          </w:p>
          <w:p w14:paraId="50E025D3"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 xml:space="preserve"> DQ1L2 TE p. 19</w:t>
            </w:r>
          </w:p>
          <w:p w14:paraId="4217DF9A" w14:textId="77777777" w:rsidR="003959B7" w:rsidRDefault="003959B7">
            <w:pPr>
              <w:pStyle w:val="normal0"/>
              <w:ind w:left="90"/>
              <w:rPr>
                <w:rFonts w:ascii="Muli" w:eastAsia="Muli" w:hAnsi="Muli" w:cs="Muli"/>
                <w:b/>
                <w:color w:val="FF126D"/>
                <w:sz w:val="20"/>
                <w:szCs w:val="20"/>
              </w:rPr>
            </w:pPr>
          </w:p>
          <w:p w14:paraId="28E9E985" w14:textId="77777777" w:rsidR="003959B7" w:rsidRDefault="00C5473B">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20F13FFF" wp14:editId="6230EC22">
                  <wp:extent cx="2795270" cy="1041191"/>
                  <wp:effectExtent l="12700" t="12700" r="12700" b="127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r="3913"/>
                          <a:stretch>
                            <a:fillRect/>
                          </a:stretch>
                        </pic:blipFill>
                        <pic:spPr>
                          <a:xfrm>
                            <a:off x="0" y="0"/>
                            <a:ext cx="2795270" cy="1041191"/>
                          </a:xfrm>
                          <a:prstGeom prst="rect">
                            <a:avLst/>
                          </a:prstGeom>
                          <a:ln w="12700">
                            <a:solidFill>
                              <a:srgbClr val="D9D9D9"/>
                            </a:solidFill>
                            <a:prstDash val="solid"/>
                          </a:ln>
                        </pic:spPr>
                      </pic:pic>
                    </a:graphicData>
                  </a:graphic>
                </wp:inline>
              </w:drawing>
            </w:r>
          </w:p>
          <w:p w14:paraId="30B04D3D"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DQ6L1 TE p. 200</w:t>
            </w:r>
          </w:p>
          <w:p w14:paraId="768FE04B" w14:textId="77777777" w:rsidR="003959B7" w:rsidRDefault="003959B7">
            <w:pPr>
              <w:pStyle w:val="normal0"/>
              <w:ind w:left="90"/>
              <w:rPr>
                <w:rFonts w:ascii="Muli" w:eastAsia="Muli" w:hAnsi="Muli" w:cs="Muli"/>
                <w:b/>
                <w:color w:val="FF126D"/>
                <w:sz w:val="20"/>
                <w:szCs w:val="20"/>
              </w:rPr>
            </w:pPr>
          </w:p>
        </w:tc>
      </w:tr>
      <w:tr w:rsidR="003959B7" w14:paraId="4DA50108" w14:textId="77777777" w:rsidTr="00D019D8">
        <w:trPr>
          <w:trHeight w:val="420"/>
        </w:trPr>
        <w:tc>
          <w:tcPr>
            <w:tcW w:w="14614" w:type="dxa"/>
            <w:gridSpan w:val="2"/>
            <w:shd w:val="clear" w:color="auto" w:fill="CCCCCC"/>
          </w:tcPr>
          <w:p w14:paraId="79E12713" w14:textId="77777777" w:rsidR="003959B7" w:rsidRDefault="00C5473B">
            <w:pPr>
              <w:pStyle w:val="normal0"/>
              <w:spacing w:before="44"/>
              <w:ind w:left="100" w:right="176"/>
              <w:rPr>
                <w:rFonts w:ascii="Muli" w:eastAsia="Muli" w:hAnsi="Muli" w:cs="Muli"/>
                <w:b/>
                <w:sz w:val="20"/>
                <w:szCs w:val="20"/>
              </w:rPr>
            </w:pPr>
            <w:r>
              <w:rPr>
                <w:rFonts w:ascii="Muli" w:eastAsia="Muli" w:hAnsi="Muli" w:cs="Muli"/>
                <w:b/>
                <w:sz w:val="20"/>
                <w:szCs w:val="20"/>
              </w:rPr>
              <w:lastRenderedPageBreak/>
              <w:t>TS4. Support for Students with Diverse Learning Needs.</w:t>
            </w:r>
          </w:p>
        </w:tc>
      </w:tr>
      <w:tr w:rsidR="003959B7" w14:paraId="41306398" w14:textId="77777777" w:rsidTr="00D019D8">
        <w:trPr>
          <w:trHeight w:val="760"/>
        </w:trPr>
        <w:tc>
          <w:tcPr>
            <w:tcW w:w="14614" w:type="dxa"/>
            <w:gridSpan w:val="2"/>
            <w:shd w:val="clear" w:color="auto" w:fill="EFEFEF"/>
          </w:tcPr>
          <w:p w14:paraId="4E2576EF"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TS4.</w:t>
            </w:r>
          </w:p>
          <w:p w14:paraId="0E507F4D"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sz w:val="20"/>
                <w:szCs w:val="20"/>
              </w:rPr>
              <w:t>They provide a strong array of strategies to support student access to the targeted learning goals and help teachers differentiate instruction.</w:t>
            </w:r>
          </w:p>
        </w:tc>
      </w:tr>
      <w:tr w:rsidR="003959B7" w14:paraId="65510D9B" w14:textId="77777777" w:rsidTr="00D019D8">
        <w:trPr>
          <w:trHeight w:val="760"/>
        </w:trPr>
        <w:tc>
          <w:tcPr>
            <w:tcW w:w="9949" w:type="dxa"/>
          </w:tcPr>
          <w:p w14:paraId="7869A804" w14:textId="77777777" w:rsidR="003959B7" w:rsidRDefault="003959B7">
            <w:pPr>
              <w:pStyle w:val="normal0"/>
              <w:spacing w:before="42"/>
              <w:ind w:left="180"/>
              <w:rPr>
                <w:rFonts w:ascii="Muli" w:eastAsia="Muli" w:hAnsi="Muli" w:cs="Muli"/>
                <w:b/>
                <w:color w:val="FF126D"/>
                <w:sz w:val="20"/>
                <w:szCs w:val="20"/>
              </w:rPr>
            </w:pPr>
          </w:p>
          <w:p w14:paraId="085F8D94" w14:textId="77777777" w:rsidR="003959B7" w:rsidRDefault="00C5473B">
            <w:pPr>
              <w:pStyle w:val="normal0"/>
              <w:spacing w:before="42"/>
              <w:ind w:left="180"/>
              <w:rPr>
                <w:rFonts w:ascii="Muli" w:eastAsia="Muli" w:hAnsi="Muli" w:cs="Muli"/>
                <w:b/>
                <w:color w:val="FF126D"/>
                <w:sz w:val="20"/>
                <w:szCs w:val="20"/>
              </w:rPr>
            </w:pPr>
            <w:r>
              <w:rPr>
                <w:rFonts w:ascii="Muli" w:eastAsia="Muli" w:hAnsi="Muli" w:cs="Muli"/>
                <w:b/>
                <w:color w:val="FF126D"/>
                <w:sz w:val="20"/>
                <w:szCs w:val="20"/>
              </w:rPr>
              <w:t>Evidence</w:t>
            </w:r>
          </w:p>
          <w:p w14:paraId="54C71E70" w14:textId="77777777" w:rsidR="003959B7" w:rsidRDefault="00C5473B">
            <w:pPr>
              <w:pStyle w:val="normal0"/>
              <w:numPr>
                <w:ilvl w:val="0"/>
                <w:numId w:val="12"/>
              </w:numPr>
              <w:contextualSpacing/>
              <w:rPr>
                <w:rFonts w:ascii="Muli" w:eastAsia="Muli" w:hAnsi="Muli" w:cs="Muli"/>
                <w:sz w:val="20"/>
                <w:szCs w:val="20"/>
              </w:rPr>
            </w:pPr>
            <w:r>
              <w:rPr>
                <w:rFonts w:ascii="Muli" w:eastAsia="Muli" w:hAnsi="Muli" w:cs="Muli"/>
                <w:sz w:val="20"/>
                <w:szCs w:val="20"/>
              </w:rPr>
              <w:t>Integrated EL sidebars offer teachers guidance to support students’ engagement with the material (</w:t>
            </w:r>
            <w:r>
              <w:rPr>
                <w:rFonts w:ascii="Muli" w:eastAsia="Muli" w:hAnsi="Muli" w:cs="Muli"/>
                <w:b/>
                <w:color w:val="FF126D"/>
                <w:sz w:val="20"/>
                <w:szCs w:val="20"/>
              </w:rPr>
              <w:t>DQ1L1 TE p. 8</w:t>
            </w:r>
            <w:r>
              <w:rPr>
                <w:rFonts w:ascii="Muli" w:eastAsia="Muli" w:hAnsi="Muli" w:cs="Muli"/>
                <w:color w:val="FF0000"/>
                <w:sz w:val="20"/>
                <w:szCs w:val="20"/>
              </w:rPr>
              <w:t xml:space="preserve">, </w:t>
            </w:r>
            <w:r>
              <w:rPr>
                <w:rFonts w:ascii="Muli" w:eastAsia="Muli" w:hAnsi="Muli" w:cs="Muli"/>
                <w:b/>
                <w:color w:val="FF126D"/>
                <w:sz w:val="20"/>
                <w:szCs w:val="20"/>
              </w:rPr>
              <w:t>DQ2L3 TE p. 54</w:t>
            </w:r>
            <w:r>
              <w:rPr>
                <w:rFonts w:ascii="Muli" w:eastAsia="Muli" w:hAnsi="Muli" w:cs="Muli"/>
                <w:color w:val="FF0000"/>
                <w:sz w:val="20"/>
                <w:szCs w:val="20"/>
              </w:rPr>
              <w:t>,</w:t>
            </w:r>
            <w:r>
              <w:rPr>
                <w:rFonts w:ascii="Muli" w:eastAsia="Muli" w:hAnsi="Muli" w:cs="Muli"/>
                <w:b/>
                <w:color w:val="FF126D"/>
                <w:sz w:val="20"/>
                <w:szCs w:val="20"/>
              </w:rPr>
              <w:t xml:space="preserve"> DQ3L4 TE p. 115</w:t>
            </w:r>
            <w:r>
              <w:rPr>
                <w:rFonts w:ascii="Muli" w:eastAsia="Muli" w:hAnsi="Muli" w:cs="Muli"/>
                <w:sz w:val="20"/>
                <w:szCs w:val="20"/>
              </w:rPr>
              <w:t>, D4L4 TE p. 147).</w:t>
            </w:r>
          </w:p>
          <w:p w14:paraId="75E786F3" w14:textId="77777777" w:rsidR="003959B7" w:rsidRDefault="003959B7">
            <w:pPr>
              <w:pStyle w:val="normal0"/>
              <w:spacing w:before="42"/>
              <w:rPr>
                <w:rFonts w:ascii="Muli" w:eastAsia="Muli" w:hAnsi="Muli" w:cs="Muli"/>
                <w:b/>
                <w:color w:val="2F5496"/>
                <w:sz w:val="20"/>
                <w:szCs w:val="20"/>
              </w:rPr>
            </w:pPr>
          </w:p>
        </w:tc>
        <w:tc>
          <w:tcPr>
            <w:tcW w:w="4665" w:type="dxa"/>
          </w:tcPr>
          <w:p w14:paraId="4E31176E"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09DFADAB" wp14:editId="65164060">
                  <wp:extent cx="2793365" cy="1657997"/>
                  <wp:effectExtent l="12700" t="12700" r="12700" b="1270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2793365" cy="1657997"/>
                          </a:xfrm>
                          <a:prstGeom prst="rect">
                            <a:avLst/>
                          </a:prstGeom>
                          <a:ln w="12700">
                            <a:solidFill>
                              <a:srgbClr val="D9D9D9"/>
                            </a:solidFill>
                            <a:prstDash val="solid"/>
                          </a:ln>
                        </pic:spPr>
                      </pic:pic>
                    </a:graphicData>
                  </a:graphic>
                </wp:inline>
              </w:drawing>
            </w:r>
          </w:p>
          <w:p w14:paraId="4C5CBA3E"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DQ1L1 TE p. 8</w:t>
            </w:r>
          </w:p>
          <w:p w14:paraId="1C61A9DA" w14:textId="77777777" w:rsidR="003959B7" w:rsidRDefault="003959B7">
            <w:pPr>
              <w:pStyle w:val="normal0"/>
              <w:ind w:left="90"/>
              <w:rPr>
                <w:rFonts w:ascii="Muli" w:eastAsia="Muli" w:hAnsi="Muli" w:cs="Muli"/>
                <w:b/>
                <w:color w:val="FF126D"/>
                <w:sz w:val="20"/>
                <w:szCs w:val="20"/>
              </w:rPr>
            </w:pPr>
          </w:p>
          <w:p w14:paraId="69BDD50D" w14:textId="77777777" w:rsidR="003959B7" w:rsidRDefault="00C5473B">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1B0991D" wp14:editId="0EEEB924">
                  <wp:extent cx="1741805" cy="2118175"/>
                  <wp:effectExtent l="0" t="0" r="0" b="0"/>
                  <wp:docPr id="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8"/>
                          <a:srcRect/>
                          <a:stretch>
                            <a:fillRect/>
                          </a:stretch>
                        </pic:blipFill>
                        <pic:spPr>
                          <a:xfrm>
                            <a:off x="0" y="0"/>
                            <a:ext cx="1741805" cy="2118175"/>
                          </a:xfrm>
                          <a:prstGeom prst="rect">
                            <a:avLst/>
                          </a:prstGeom>
                          <a:ln/>
                        </pic:spPr>
                      </pic:pic>
                    </a:graphicData>
                  </a:graphic>
                </wp:inline>
              </w:drawing>
            </w:r>
          </w:p>
          <w:p w14:paraId="32A35127"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DQ2L3 TE p. 54</w:t>
            </w:r>
          </w:p>
          <w:p w14:paraId="3E6D218E" w14:textId="77777777" w:rsidR="003959B7" w:rsidRDefault="003959B7">
            <w:pPr>
              <w:pStyle w:val="normal0"/>
              <w:ind w:left="90"/>
              <w:rPr>
                <w:rFonts w:ascii="Muli" w:eastAsia="Muli" w:hAnsi="Muli" w:cs="Muli"/>
                <w:b/>
                <w:color w:val="FF126D"/>
                <w:sz w:val="20"/>
                <w:szCs w:val="20"/>
              </w:rPr>
            </w:pPr>
          </w:p>
          <w:p w14:paraId="7BAD1CFF" w14:textId="77777777" w:rsidR="003959B7" w:rsidRDefault="00C5473B">
            <w:pPr>
              <w:pStyle w:val="normal0"/>
              <w:ind w:left="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7741581E" wp14:editId="20DE6006">
                  <wp:extent cx="1802765" cy="1503728"/>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802765" cy="1503728"/>
                          </a:xfrm>
                          <a:prstGeom prst="rect">
                            <a:avLst/>
                          </a:prstGeom>
                          <a:ln/>
                        </pic:spPr>
                      </pic:pic>
                    </a:graphicData>
                  </a:graphic>
                </wp:inline>
              </w:drawing>
            </w:r>
          </w:p>
          <w:p w14:paraId="3B3E6FBA"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 xml:space="preserve"> DQ3L4 TE p. 115</w:t>
            </w:r>
          </w:p>
        </w:tc>
      </w:tr>
      <w:tr w:rsidR="003959B7" w14:paraId="56655B98" w14:textId="77777777" w:rsidTr="00D019D8">
        <w:trPr>
          <w:trHeight w:val="760"/>
        </w:trPr>
        <w:tc>
          <w:tcPr>
            <w:tcW w:w="9949" w:type="dxa"/>
          </w:tcPr>
          <w:p w14:paraId="7183E7BF" w14:textId="77777777" w:rsidR="003959B7" w:rsidRDefault="00C5473B">
            <w:pPr>
              <w:pStyle w:val="normal0"/>
              <w:numPr>
                <w:ilvl w:val="0"/>
                <w:numId w:val="12"/>
              </w:numPr>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w:t>
            </w:r>
            <w:r>
              <w:rPr>
                <w:rFonts w:ascii="Muli" w:eastAsia="Muli" w:hAnsi="Muli" w:cs="Muli"/>
                <w:b/>
                <w:color w:val="FF126D"/>
                <w:sz w:val="20"/>
                <w:szCs w:val="20"/>
              </w:rPr>
              <w:t>DQ1L1 TE p. 8</w:t>
            </w:r>
            <w:r>
              <w:rPr>
                <w:rFonts w:ascii="Muli" w:eastAsia="Muli" w:hAnsi="Muli" w:cs="Muli"/>
                <w:sz w:val="20"/>
                <w:szCs w:val="20"/>
              </w:rPr>
              <w:t xml:space="preserve">, DQ2L3 TE p. 55, DQ3L3 TE p. 106, </w:t>
            </w:r>
            <w:r>
              <w:rPr>
                <w:rFonts w:ascii="Muli" w:eastAsia="Muli" w:hAnsi="Muli" w:cs="Muli"/>
                <w:b/>
                <w:color w:val="FF126D"/>
                <w:sz w:val="20"/>
                <w:szCs w:val="20"/>
              </w:rPr>
              <w:t>DQ5L3 TE p. 172</w:t>
            </w:r>
            <w:r>
              <w:rPr>
                <w:rFonts w:ascii="Muli" w:eastAsia="Muli" w:hAnsi="Muli" w:cs="Muli"/>
                <w:sz w:val="20"/>
                <w:szCs w:val="20"/>
              </w:rPr>
              <w:t>).</w:t>
            </w:r>
          </w:p>
        </w:tc>
        <w:tc>
          <w:tcPr>
            <w:tcW w:w="4665" w:type="dxa"/>
          </w:tcPr>
          <w:p w14:paraId="6C5E6E90"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0E169A07" wp14:editId="141FBBD6">
                  <wp:extent cx="2793365" cy="1657997"/>
                  <wp:effectExtent l="12700" t="12700" r="12700" b="12700"/>
                  <wp:docPr id="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2793365" cy="1657997"/>
                          </a:xfrm>
                          <a:prstGeom prst="rect">
                            <a:avLst/>
                          </a:prstGeom>
                          <a:ln w="12700">
                            <a:solidFill>
                              <a:srgbClr val="D9D9D9"/>
                            </a:solidFill>
                            <a:prstDash val="solid"/>
                          </a:ln>
                        </pic:spPr>
                      </pic:pic>
                    </a:graphicData>
                  </a:graphic>
                </wp:inline>
              </w:drawing>
            </w:r>
          </w:p>
          <w:p w14:paraId="7DC484F7" w14:textId="77777777" w:rsidR="003959B7" w:rsidRDefault="00C5473B">
            <w:pPr>
              <w:pStyle w:val="normal0"/>
              <w:ind w:left="90"/>
              <w:rPr>
                <w:rFonts w:ascii="Muli" w:eastAsia="Muli" w:hAnsi="Muli" w:cs="Muli"/>
                <w:b/>
                <w:color w:val="FF126D"/>
                <w:sz w:val="20"/>
                <w:szCs w:val="20"/>
              </w:rPr>
            </w:pPr>
            <w:r>
              <w:rPr>
                <w:rFonts w:ascii="Muli" w:eastAsia="Muli" w:hAnsi="Muli" w:cs="Muli"/>
                <w:b/>
                <w:color w:val="FF126D"/>
                <w:sz w:val="20"/>
                <w:szCs w:val="20"/>
              </w:rPr>
              <w:t>DQ1L1 TE p. 8</w:t>
            </w:r>
          </w:p>
          <w:p w14:paraId="772E0544" w14:textId="77777777" w:rsidR="003959B7" w:rsidRDefault="003959B7">
            <w:pPr>
              <w:pStyle w:val="normal0"/>
              <w:ind w:left="90"/>
              <w:rPr>
                <w:rFonts w:ascii="Muli" w:eastAsia="Muli" w:hAnsi="Muli" w:cs="Muli"/>
                <w:b/>
                <w:color w:val="FF126D"/>
                <w:sz w:val="20"/>
                <w:szCs w:val="20"/>
              </w:rPr>
            </w:pPr>
          </w:p>
          <w:p w14:paraId="3B8D068D"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2075CA8C" wp14:editId="61E8337A">
                  <wp:extent cx="2499995" cy="3647720"/>
                  <wp:effectExtent l="12700" t="12700" r="12700" b="1270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2499995" cy="3647720"/>
                          </a:xfrm>
                          <a:prstGeom prst="rect">
                            <a:avLst/>
                          </a:prstGeom>
                          <a:ln w="12700">
                            <a:solidFill>
                              <a:srgbClr val="D9D9D9"/>
                            </a:solidFill>
                            <a:prstDash val="solid"/>
                          </a:ln>
                        </pic:spPr>
                      </pic:pic>
                    </a:graphicData>
                  </a:graphic>
                </wp:inline>
              </w:drawing>
            </w:r>
          </w:p>
          <w:p w14:paraId="2C412B03" w14:textId="77777777" w:rsidR="003959B7" w:rsidRDefault="00C5473B">
            <w:pPr>
              <w:pStyle w:val="normal0"/>
              <w:ind w:left="90" w:right="165"/>
              <w:rPr>
                <w:rFonts w:ascii="Muli" w:eastAsia="Muli" w:hAnsi="Muli" w:cs="Muli"/>
                <w:b/>
                <w:color w:val="FF126D"/>
                <w:sz w:val="20"/>
                <w:szCs w:val="20"/>
              </w:rPr>
            </w:pPr>
            <w:r>
              <w:rPr>
                <w:rFonts w:ascii="Muli" w:eastAsia="Muli" w:hAnsi="Muli" w:cs="Muli"/>
                <w:b/>
                <w:color w:val="FF126D"/>
                <w:sz w:val="20"/>
                <w:szCs w:val="20"/>
              </w:rPr>
              <w:t>DQ5L3 TE Spark p. 172</w:t>
            </w:r>
          </w:p>
          <w:p w14:paraId="5B1BD91F" w14:textId="77777777" w:rsidR="003959B7" w:rsidRDefault="003959B7">
            <w:pPr>
              <w:pStyle w:val="normal0"/>
              <w:ind w:left="90"/>
              <w:rPr>
                <w:rFonts w:ascii="Muli" w:eastAsia="Muli" w:hAnsi="Muli" w:cs="Muli"/>
                <w:b/>
                <w:color w:val="FF126D"/>
                <w:sz w:val="20"/>
                <w:szCs w:val="20"/>
              </w:rPr>
            </w:pPr>
          </w:p>
        </w:tc>
      </w:tr>
      <w:tr w:rsidR="003959B7" w14:paraId="04F88ED4" w14:textId="77777777" w:rsidTr="00D019D8">
        <w:trPr>
          <w:trHeight w:val="760"/>
        </w:trPr>
        <w:tc>
          <w:tcPr>
            <w:tcW w:w="9949" w:type="dxa"/>
          </w:tcPr>
          <w:p w14:paraId="0977AE30" w14:textId="77777777" w:rsidR="003959B7" w:rsidRDefault="00C5473B">
            <w:pPr>
              <w:pStyle w:val="normal0"/>
              <w:numPr>
                <w:ilvl w:val="0"/>
                <w:numId w:val="12"/>
              </w:numPr>
              <w:ind w:right="228"/>
              <w:contextualSpacing/>
              <w:rPr>
                <w:rFonts w:ascii="Muli" w:eastAsia="Muli" w:hAnsi="Muli" w:cs="Muli"/>
                <w:sz w:val="20"/>
                <w:szCs w:val="20"/>
              </w:rPr>
            </w:pPr>
            <w:r>
              <w:rPr>
                <w:rFonts w:ascii="Muli" w:eastAsia="Muli" w:hAnsi="Muli" w:cs="Muli"/>
                <w:sz w:val="20"/>
                <w:szCs w:val="20"/>
              </w:rPr>
              <w:lastRenderedPageBreak/>
              <w:t>Integrated Special Needs sidebars offer teachers guidance to support students of all abilities as they participation in class activities and grasp key concepts (</w:t>
            </w:r>
            <w:r>
              <w:rPr>
                <w:rFonts w:ascii="Muli" w:eastAsia="Muli" w:hAnsi="Muli" w:cs="Muli"/>
                <w:b/>
                <w:color w:val="FF126D"/>
                <w:sz w:val="20"/>
                <w:szCs w:val="20"/>
              </w:rPr>
              <w:t>DQ1L2 TE p. 18</w:t>
            </w:r>
            <w:r>
              <w:rPr>
                <w:rFonts w:ascii="Muli" w:eastAsia="Muli" w:hAnsi="Muli" w:cs="Muli"/>
                <w:sz w:val="20"/>
                <w:szCs w:val="20"/>
              </w:rPr>
              <w:t>, DQ2L3 TE p. 56, D4L4 TE p. 148).</w:t>
            </w:r>
          </w:p>
        </w:tc>
        <w:tc>
          <w:tcPr>
            <w:tcW w:w="4665" w:type="dxa"/>
          </w:tcPr>
          <w:p w14:paraId="4F62245B"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240BA843" wp14:editId="6E42DD1E">
                  <wp:extent cx="2118995" cy="4401890"/>
                  <wp:effectExtent l="0" t="0" r="0" b="0"/>
                  <wp:docPr id="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0"/>
                          <a:srcRect l="5440" r="4690"/>
                          <a:stretch>
                            <a:fillRect/>
                          </a:stretch>
                        </pic:blipFill>
                        <pic:spPr>
                          <a:xfrm>
                            <a:off x="0" y="0"/>
                            <a:ext cx="2118995" cy="4401890"/>
                          </a:xfrm>
                          <a:prstGeom prst="rect">
                            <a:avLst/>
                          </a:prstGeom>
                          <a:ln/>
                        </pic:spPr>
                      </pic:pic>
                    </a:graphicData>
                  </a:graphic>
                </wp:inline>
              </w:drawing>
            </w:r>
          </w:p>
          <w:p w14:paraId="03198463" w14:textId="77777777" w:rsidR="003959B7" w:rsidRDefault="00C5473B">
            <w:pPr>
              <w:pStyle w:val="normal0"/>
              <w:ind w:left="90" w:right="228"/>
              <w:rPr>
                <w:rFonts w:ascii="Muli" w:eastAsia="Muli" w:hAnsi="Muli" w:cs="Muli"/>
                <w:b/>
                <w:color w:val="2F5496"/>
                <w:sz w:val="20"/>
                <w:szCs w:val="20"/>
              </w:rPr>
            </w:pPr>
            <w:r>
              <w:rPr>
                <w:rFonts w:ascii="Muli" w:eastAsia="Muli" w:hAnsi="Muli" w:cs="Muli"/>
                <w:b/>
                <w:color w:val="FF126D"/>
                <w:sz w:val="20"/>
                <w:szCs w:val="20"/>
              </w:rPr>
              <w:t>DQ1L2 TE p. 18</w:t>
            </w:r>
          </w:p>
        </w:tc>
      </w:tr>
      <w:tr w:rsidR="003959B7" w14:paraId="5AB577E1" w14:textId="77777777" w:rsidTr="00D019D8">
        <w:trPr>
          <w:trHeight w:val="760"/>
        </w:trPr>
        <w:tc>
          <w:tcPr>
            <w:tcW w:w="9949" w:type="dxa"/>
          </w:tcPr>
          <w:p w14:paraId="4E8C0BB9" w14:textId="77777777" w:rsidR="003959B7" w:rsidRDefault="00C5473B">
            <w:pPr>
              <w:pStyle w:val="normal0"/>
              <w:numPr>
                <w:ilvl w:val="0"/>
                <w:numId w:val="12"/>
              </w:numPr>
              <w:contextualSpacing/>
              <w:rPr>
                <w:rFonts w:ascii="Muli" w:eastAsia="Muli" w:hAnsi="Muli" w:cs="Muli"/>
                <w:sz w:val="20"/>
                <w:szCs w:val="20"/>
              </w:rPr>
            </w:pPr>
            <w:r>
              <w:rPr>
                <w:rFonts w:ascii="Muli" w:eastAsia="Muli" w:hAnsi="Muli" w:cs="Muli"/>
                <w:sz w:val="20"/>
                <w:szCs w:val="20"/>
              </w:rPr>
              <w:t>Integrated Challenges interspersed throughout the TB support GATE students who have met the learning goals (</w:t>
            </w:r>
            <w:r>
              <w:rPr>
                <w:rFonts w:ascii="Muli" w:eastAsia="Muli" w:hAnsi="Muli" w:cs="Muli"/>
                <w:b/>
                <w:color w:val="FF126D"/>
                <w:sz w:val="20"/>
                <w:szCs w:val="20"/>
              </w:rPr>
              <w:t>DQ1L1 TB p. 4</w:t>
            </w:r>
            <w:r>
              <w:rPr>
                <w:rFonts w:ascii="Muli" w:eastAsia="Muli" w:hAnsi="Muli" w:cs="Muli"/>
                <w:color w:val="FF0000"/>
                <w:sz w:val="20"/>
                <w:szCs w:val="20"/>
              </w:rPr>
              <w:t xml:space="preserve">, </w:t>
            </w:r>
            <w:r>
              <w:rPr>
                <w:rFonts w:ascii="Muli" w:eastAsia="Muli" w:hAnsi="Muli" w:cs="Muli"/>
                <w:sz w:val="20"/>
                <w:szCs w:val="20"/>
              </w:rPr>
              <w:t>DQ2L2 TB p. 28, DQ3L2 TB p. 51, DQ5L2 TB p. 103).</w:t>
            </w:r>
          </w:p>
        </w:tc>
        <w:tc>
          <w:tcPr>
            <w:tcW w:w="4665" w:type="dxa"/>
          </w:tcPr>
          <w:p w14:paraId="6DAA8539" w14:textId="77777777" w:rsidR="003959B7" w:rsidRDefault="00C5473B">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1629AC61" wp14:editId="57C6CF0B">
                  <wp:extent cx="2686685" cy="1378009"/>
                  <wp:effectExtent l="0" t="0" r="0" b="0"/>
                  <wp:docPr id="6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1"/>
                          <a:srcRect/>
                          <a:stretch>
                            <a:fillRect/>
                          </a:stretch>
                        </pic:blipFill>
                        <pic:spPr>
                          <a:xfrm>
                            <a:off x="0" y="0"/>
                            <a:ext cx="2686685" cy="1378009"/>
                          </a:xfrm>
                          <a:prstGeom prst="rect">
                            <a:avLst/>
                          </a:prstGeom>
                          <a:ln/>
                        </pic:spPr>
                      </pic:pic>
                    </a:graphicData>
                  </a:graphic>
                </wp:inline>
              </w:drawing>
            </w:r>
          </w:p>
          <w:p w14:paraId="41C5C222" w14:textId="77777777" w:rsidR="003959B7" w:rsidRDefault="00C5473B">
            <w:pPr>
              <w:pStyle w:val="normal0"/>
              <w:ind w:firstLine="90"/>
              <w:rPr>
                <w:rFonts w:ascii="Muli" w:eastAsia="Muli" w:hAnsi="Muli" w:cs="Muli"/>
                <w:b/>
                <w:color w:val="2F5496"/>
                <w:sz w:val="20"/>
                <w:szCs w:val="20"/>
              </w:rPr>
            </w:pPr>
            <w:r>
              <w:rPr>
                <w:rFonts w:ascii="Muli" w:eastAsia="Muli" w:hAnsi="Muli" w:cs="Muli"/>
                <w:b/>
                <w:color w:val="FF126D"/>
                <w:sz w:val="20"/>
                <w:szCs w:val="20"/>
              </w:rPr>
              <w:t>DQ1L1 TB p. 4</w:t>
            </w:r>
          </w:p>
        </w:tc>
      </w:tr>
      <w:tr w:rsidR="003959B7" w14:paraId="3D1DEB33" w14:textId="77777777" w:rsidTr="00D019D8">
        <w:trPr>
          <w:trHeight w:val="7400"/>
        </w:trPr>
        <w:tc>
          <w:tcPr>
            <w:tcW w:w="9949" w:type="dxa"/>
          </w:tcPr>
          <w:p w14:paraId="7EC4D14B" w14:textId="77777777" w:rsidR="003959B7" w:rsidRDefault="00C5473B">
            <w:pPr>
              <w:pStyle w:val="normal0"/>
              <w:numPr>
                <w:ilvl w:val="0"/>
                <w:numId w:val="12"/>
              </w:numPr>
              <w:ind w:right="138"/>
              <w:contextualSpacing/>
              <w:rPr>
                <w:rFonts w:ascii="Muli" w:eastAsia="Muli" w:hAnsi="Muli" w:cs="Muli"/>
                <w:sz w:val="20"/>
                <w:szCs w:val="20"/>
              </w:rPr>
            </w:pPr>
            <w:r>
              <w:rPr>
                <w:rFonts w:ascii="Muli" w:eastAsia="Muli" w:hAnsi="Muli" w:cs="Muli"/>
                <w:sz w:val="20"/>
                <w:szCs w:val="20"/>
              </w:rPr>
              <w:lastRenderedPageBreak/>
              <w:t xml:space="preserve">Videos like </w:t>
            </w:r>
            <w:r>
              <w:rPr>
                <w:rFonts w:ascii="Muli" w:eastAsia="Muli" w:hAnsi="Muli" w:cs="Muli"/>
                <w:b/>
                <w:color w:val="FF126D"/>
                <w:sz w:val="20"/>
                <w:szCs w:val="20"/>
              </w:rPr>
              <w:t>Time-Lapse of a Plant</w:t>
            </w:r>
            <w:r>
              <w:rPr>
                <w:rFonts w:ascii="Muli" w:eastAsia="Muli" w:hAnsi="Muli" w:cs="Muli"/>
                <w:sz w:val="20"/>
                <w:szCs w:val="20"/>
              </w:rPr>
              <w:t xml:space="preserve"> (DQ1L1), Butterfly’s Breakfast (DQ2L5), </w:t>
            </w:r>
            <w:r>
              <w:rPr>
                <w:rFonts w:ascii="Muli" w:eastAsia="Muli" w:hAnsi="Muli" w:cs="Muli"/>
                <w:b/>
                <w:color w:val="FF126D"/>
                <w:sz w:val="20"/>
                <w:szCs w:val="20"/>
              </w:rPr>
              <w:t>Decomposers: Breaking It Down</w:t>
            </w:r>
            <w:r>
              <w:rPr>
                <w:rFonts w:ascii="Muli" w:eastAsia="Muli" w:hAnsi="Muli" w:cs="Muli"/>
                <w:sz w:val="20"/>
                <w:szCs w:val="20"/>
              </w:rPr>
              <w:t xml:space="preserve"> (DQ5L2), and Wolves in Yellowstone (DQ6L2) bring phenomena and concepts to life for all students. </w:t>
            </w:r>
          </w:p>
          <w:p w14:paraId="5F9E334A" w14:textId="77777777" w:rsidR="003959B7" w:rsidRDefault="00C5473B">
            <w:pPr>
              <w:pStyle w:val="normal0"/>
              <w:numPr>
                <w:ilvl w:val="0"/>
                <w:numId w:val="12"/>
              </w:numPr>
              <w:ind w:right="138"/>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writing, drawing, physical models, and oral discussions, allowing all students to access a range of assessment types to suit their learning style and/or reading level.</w:t>
            </w:r>
          </w:p>
          <w:p w14:paraId="53228043" w14:textId="77777777" w:rsidR="003959B7" w:rsidRDefault="00C5473B">
            <w:pPr>
              <w:pStyle w:val="normal0"/>
              <w:numPr>
                <w:ilvl w:val="0"/>
                <w:numId w:val="12"/>
              </w:numPr>
              <w:ind w:right="138"/>
              <w:contextualSpacing/>
              <w:rPr>
                <w:rFonts w:ascii="Muli" w:eastAsia="Muli" w:hAnsi="Muli" w:cs="Muli"/>
                <w:sz w:val="20"/>
                <w:szCs w:val="20"/>
              </w:rPr>
            </w:pPr>
            <w:r>
              <w:rPr>
                <w:rFonts w:ascii="Muli" w:eastAsia="Muli" w:hAnsi="Muli" w:cs="Muli"/>
                <w:sz w:val="20"/>
                <w:szCs w:val="20"/>
              </w:rPr>
              <w:t>The digital TB and digital assessment items (Benchmark, Multiple Choice, Rubrics) have a text to speech function allowing students of all reading levels to access the assessments.</w:t>
            </w:r>
          </w:p>
        </w:tc>
        <w:tc>
          <w:tcPr>
            <w:tcW w:w="4665" w:type="dxa"/>
          </w:tcPr>
          <w:p w14:paraId="6D9F7722" w14:textId="77777777" w:rsidR="003959B7" w:rsidRDefault="00C5473B">
            <w:pPr>
              <w:pStyle w:val="normal0"/>
              <w:ind w:firstLine="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0101AF9E" wp14:editId="38BAF2FA">
                  <wp:extent cx="2705100" cy="2078355"/>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t="3022"/>
                          <a:stretch>
                            <a:fillRect/>
                          </a:stretch>
                        </pic:blipFill>
                        <pic:spPr>
                          <a:xfrm>
                            <a:off x="0" y="0"/>
                            <a:ext cx="2705100" cy="2078355"/>
                          </a:xfrm>
                          <a:prstGeom prst="rect">
                            <a:avLst/>
                          </a:prstGeom>
                          <a:ln/>
                        </pic:spPr>
                      </pic:pic>
                    </a:graphicData>
                  </a:graphic>
                </wp:inline>
              </w:drawing>
            </w:r>
          </w:p>
          <w:p w14:paraId="19AA49AA" w14:textId="77777777" w:rsidR="003959B7" w:rsidRDefault="00C5473B">
            <w:pPr>
              <w:pStyle w:val="normal0"/>
              <w:ind w:firstLine="90"/>
              <w:rPr>
                <w:rFonts w:ascii="Muli" w:eastAsia="Muli" w:hAnsi="Muli" w:cs="Muli"/>
                <w:b/>
                <w:color w:val="FF126D"/>
                <w:sz w:val="20"/>
                <w:szCs w:val="20"/>
              </w:rPr>
            </w:pPr>
            <w:r>
              <w:rPr>
                <w:rFonts w:ascii="Muli" w:eastAsia="Muli" w:hAnsi="Muli" w:cs="Muli"/>
                <w:b/>
                <w:color w:val="FF126D"/>
                <w:sz w:val="20"/>
                <w:szCs w:val="20"/>
              </w:rPr>
              <w:t>Time-Lapse of a Plant</w:t>
            </w:r>
          </w:p>
          <w:p w14:paraId="34D8D168" w14:textId="77777777" w:rsidR="003959B7" w:rsidRDefault="003959B7">
            <w:pPr>
              <w:pStyle w:val="normal0"/>
              <w:ind w:firstLine="90"/>
              <w:rPr>
                <w:rFonts w:ascii="Muli" w:eastAsia="Muli" w:hAnsi="Muli" w:cs="Muli"/>
                <w:b/>
                <w:color w:val="FF126D"/>
                <w:sz w:val="20"/>
                <w:szCs w:val="20"/>
              </w:rPr>
            </w:pPr>
          </w:p>
          <w:p w14:paraId="7CE643AA" w14:textId="77777777" w:rsidR="003959B7" w:rsidRDefault="00C5473B">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7082B99" wp14:editId="0F7D7C87">
                  <wp:extent cx="2701925" cy="2022086"/>
                  <wp:effectExtent l="0" t="0" r="0" b="0"/>
                  <wp:docPr id="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2701925" cy="2022086"/>
                          </a:xfrm>
                          <a:prstGeom prst="rect">
                            <a:avLst/>
                          </a:prstGeom>
                          <a:ln/>
                        </pic:spPr>
                      </pic:pic>
                    </a:graphicData>
                  </a:graphic>
                </wp:inline>
              </w:drawing>
            </w:r>
          </w:p>
          <w:p w14:paraId="28BEDC80" w14:textId="77777777" w:rsidR="003959B7" w:rsidRDefault="00C5473B">
            <w:pPr>
              <w:pStyle w:val="normal0"/>
              <w:ind w:firstLine="90"/>
              <w:rPr>
                <w:rFonts w:ascii="Muli" w:eastAsia="Muli" w:hAnsi="Muli" w:cs="Muli"/>
                <w:b/>
                <w:color w:val="FF126D"/>
                <w:sz w:val="20"/>
                <w:szCs w:val="20"/>
              </w:rPr>
            </w:pPr>
            <w:r>
              <w:rPr>
                <w:rFonts w:ascii="Muli" w:eastAsia="Muli" w:hAnsi="Muli" w:cs="Muli"/>
                <w:b/>
                <w:color w:val="FF126D"/>
                <w:sz w:val="20"/>
                <w:szCs w:val="20"/>
              </w:rPr>
              <w:t>Decomposers: Breaking It Down</w:t>
            </w:r>
          </w:p>
        </w:tc>
      </w:tr>
      <w:tr w:rsidR="003959B7" w14:paraId="48D127B5" w14:textId="77777777" w:rsidTr="00D019D8">
        <w:trPr>
          <w:trHeight w:val="4740"/>
        </w:trPr>
        <w:tc>
          <w:tcPr>
            <w:tcW w:w="9949" w:type="dxa"/>
          </w:tcPr>
          <w:p w14:paraId="3FD4CF0E" w14:textId="77777777" w:rsidR="003959B7" w:rsidRDefault="00C5473B">
            <w:pPr>
              <w:pStyle w:val="normal0"/>
              <w:numPr>
                <w:ilvl w:val="0"/>
                <w:numId w:val="12"/>
              </w:numPr>
              <w:ind w:right="138"/>
              <w:contextualSpacing/>
              <w:rPr>
                <w:rFonts w:ascii="Muli" w:eastAsia="Muli" w:hAnsi="Muli" w:cs="Muli"/>
                <w:sz w:val="20"/>
                <w:szCs w:val="20"/>
              </w:rPr>
            </w:pPr>
            <w:r>
              <w:rPr>
                <w:rFonts w:ascii="Muli" w:eastAsia="Muli" w:hAnsi="Muli" w:cs="Muli"/>
                <w:sz w:val="20"/>
                <w:szCs w:val="20"/>
              </w:rPr>
              <w:lastRenderedPageBreak/>
              <w:t>The rubrics for the performance tasks (DQ2L6, DQ3L4, DQ4L4, DQ5L4) and Benchmark Assessment (DQ5 TE p. 184) have four levels (emerging, developing, proficient, advanced) allowing all students to demonstrate their current level of attainment.</w:t>
            </w:r>
          </w:p>
        </w:tc>
        <w:tc>
          <w:tcPr>
            <w:tcW w:w="4665" w:type="dxa"/>
          </w:tcPr>
          <w:p w14:paraId="62182985" w14:textId="77777777" w:rsidR="003959B7" w:rsidRDefault="00C5473B">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5C1F08E7" wp14:editId="2DA57929">
                  <wp:extent cx="2334260" cy="2709888"/>
                  <wp:effectExtent l="12700" t="12700" r="12700" b="127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l="1801" t="10262" r="1358" b="11546"/>
                          <a:stretch>
                            <a:fillRect/>
                          </a:stretch>
                        </pic:blipFill>
                        <pic:spPr>
                          <a:xfrm>
                            <a:off x="0" y="0"/>
                            <a:ext cx="2334260" cy="2709888"/>
                          </a:xfrm>
                          <a:prstGeom prst="rect">
                            <a:avLst/>
                          </a:prstGeom>
                          <a:ln w="12700">
                            <a:solidFill>
                              <a:srgbClr val="CCCCCC"/>
                            </a:solidFill>
                            <a:prstDash val="solid"/>
                          </a:ln>
                        </pic:spPr>
                      </pic:pic>
                    </a:graphicData>
                  </a:graphic>
                </wp:inline>
              </w:drawing>
            </w:r>
          </w:p>
          <w:p w14:paraId="53FDC090" w14:textId="77777777" w:rsidR="003959B7" w:rsidRDefault="00C5473B">
            <w:pPr>
              <w:pStyle w:val="normal0"/>
              <w:ind w:left="90" w:right="180"/>
              <w:rPr>
                <w:rFonts w:ascii="Muli" w:eastAsia="Muli" w:hAnsi="Muli" w:cs="Muli"/>
                <w:b/>
                <w:color w:val="2F5496"/>
                <w:sz w:val="20"/>
                <w:szCs w:val="20"/>
              </w:rPr>
            </w:pPr>
            <w:r>
              <w:rPr>
                <w:rFonts w:ascii="Muli" w:eastAsia="Muli" w:hAnsi="Muli" w:cs="Muli"/>
                <w:b/>
                <w:color w:val="FF126D"/>
                <w:sz w:val="20"/>
                <w:szCs w:val="20"/>
              </w:rPr>
              <w:t>DQ5 TE p. 184</w:t>
            </w:r>
          </w:p>
        </w:tc>
      </w:tr>
      <w:tr w:rsidR="003959B7" w14:paraId="580FD93B" w14:textId="77777777" w:rsidTr="00D019D8">
        <w:trPr>
          <w:trHeight w:val="4220"/>
        </w:trPr>
        <w:tc>
          <w:tcPr>
            <w:tcW w:w="9949" w:type="dxa"/>
          </w:tcPr>
          <w:p w14:paraId="1AED2AF7" w14:textId="77777777" w:rsidR="003959B7" w:rsidRDefault="00C5473B">
            <w:pPr>
              <w:pStyle w:val="normal0"/>
              <w:numPr>
                <w:ilvl w:val="0"/>
                <w:numId w:val="12"/>
              </w:numPr>
              <w:contextualSpacing/>
              <w:rPr>
                <w:rFonts w:ascii="Muli" w:eastAsia="Muli" w:hAnsi="Muli" w:cs="Muli"/>
                <w:sz w:val="20"/>
                <w:szCs w:val="20"/>
              </w:rPr>
            </w:pPr>
            <w:r>
              <w:rPr>
                <w:rFonts w:ascii="Muli" w:eastAsia="Muli" w:hAnsi="Muli" w:cs="Muli"/>
                <w:sz w:val="20"/>
                <w:szCs w:val="20"/>
              </w:rPr>
              <w:t xml:space="preserve">The </w:t>
            </w:r>
            <w:r>
              <w:rPr>
                <w:rFonts w:ascii="Muli" w:eastAsia="Muli" w:hAnsi="Muli" w:cs="Muli"/>
                <w:b/>
                <w:color w:val="FF126D"/>
                <w:sz w:val="20"/>
                <w:szCs w:val="20"/>
              </w:rPr>
              <w:t>multiple choice assessment (DQ6)</w:t>
            </w:r>
            <w:r>
              <w:rPr>
                <w:rFonts w:ascii="Muli" w:eastAsia="Muli" w:hAnsi="Muli" w:cs="Muli"/>
                <w:sz w:val="20"/>
                <w:szCs w:val="20"/>
              </w:rPr>
              <w:t xml:space="preserve"> contains questions targeting different DoK levels, with an extended section available to further challenge GATE students.</w:t>
            </w:r>
            <w:r>
              <w:rPr>
                <w:rFonts w:ascii="Muli" w:eastAsia="Muli" w:hAnsi="Muli" w:cs="Muli"/>
                <w:sz w:val="20"/>
                <w:szCs w:val="20"/>
              </w:rPr>
              <w:tab/>
            </w:r>
            <w:r>
              <w:rPr>
                <w:rFonts w:ascii="Muli" w:eastAsia="Muli" w:hAnsi="Muli" w:cs="Muli"/>
                <w:sz w:val="20"/>
                <w:szCs w:val="20"/>
              </w:rPr>
              <w:tab/>
            </w:r>
          </w:p>
          <w:p w14:paraId="179601E7" w14:textId="77777777" w:rsidR="003959B7" w:rsidRDefault="003959B7">
            <w:pPr>
              <w:pStyle w:val="normal0"/>
              <w:spacing w:before="42"/>
              <w:ind w:left="180"/>
              <w:rPr>
                <w:rFonts w:ascii="Muli" w:eastAsia="Muli" w:hAnsi="Muli" w:cs="Muli"/>
                <w:b/>
                <w:color w:val="FF126D"/>
                <w:sz w:val="20"/>
                <w:szCs w:val="20"/>
              </w:rPr>
            </w:pPr>
          </w:p>
        </w:tc>
        <w:tc>
          <w:tcPr>
            <w:tcW w:w="4665" w:type="dxa"/>
          </w:tcPr>
          <w:p w14:paraId="70D3A8EC"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4025DB4F" wp14:editId="075B2F22">
                  <wp:extent cx="2570480" cy="2393527"/>
                  <wp:effectExtent l="12700" t="12700" r="12700" b="1270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2570480" cy="2393527"/>
                          </a:xfrm>
                          <a:prstGeom prst="rect">
                            <a:avLst/>
                          </a:prstGeom>
                          <a:ln w="12700">
                            <a:solidFill>
                              <a:srgbClr val="D9D9D9"/>
                            </a:solidFill>
                            <a:prstDash val="solid"/>
                          </a:ln>
                        </pic:spPr>
                      </pic:pic>
                    </a:graphicData>
                  </a:graphic>
                </wp:inline>
              </w:drawing>
            </w:r>
          </w:p>
          <w:p w14:paraId="030453CF" w14:textId="77777777" w:rsidR="003959B7" w:rsidRDefault="00C5473B">
            <w:pPr>
              <w:pStyle w:val="normal0"/>
              <w:ind w:left="180" w:right="90" w:hanging="90"/>
              <w:rPr>
                <w:rFonts w:ascii="Muli" w:eastAsia="Muli" w:hAnsi="Muli" w:cs="Muli"/>
                <w:b/>
                <w:color w:val="2F5496"/>
                <w:sz w:val="20"/>
                <w:szCs w:val="20"/>
              </w:rPr>
            </w:pPr>
            <w:r>
              <w:rPr>
                <w:rFonts w:ascii="Muli" w:eastAsia="Muli" w:hAnsi="Muli" w:cs="Muli"/>
                <w:b/>
                <w:color w:val="FF126D"/>
                <w:sz w:val="20"/>
                <w:szCs w:val="20"/>
              </w:rPr>
              <w:t>Multiple choice (digital, DQ6)</w:t>
            </w:r>
          </w:p>
        </w:tc>
      </w:tr>
      <w:tr w:rsidR="003959B7" w14:paraId="2D669D2C" w14:textId="77777777" w:rsidTr="00D019D8">
        <w:trPr>
          <w:trHeight w:val="19380"/>
        </w:trPr>
        <w:tc>
          <w:tcPr>
            <w:tcW w:w="9949" w:type="dxa"/>
          </w:tcPr>
          <w:p w14:paraId="730D8CA4" w14:textId="77777777" w:rsidR="003959B7" w:rsidRDefault="00C5473B">
            <w:pPr>
              <w:pStyle w:val="normal0"/>
              <w:numPr>
                <w:ilvl w:val="0"/>
                <w:numId w:val="12"/>
              </w:numPr>
              <w:contextualSpacing/>
              <w:rPr>
                <w:rFonts w:ascii="Muli" w:eastAsia="Muli" w:hAnsi="Muli" w:cs="Muli"/>
                <w:sz w:val="20"/>
                <w:szCs w:val="20"/>
              </w:rPr>
            </w:pPr>
            <w:r>
              <w:rPr>
                <w:rFonts w:ascii="Muli" w:eastAsia="Muli" w:hAnsi="Muli" w:cs="Muli"/>
                <w:sz w:val="20"/>
                <w:szCs w:val="20"/>
              </w:rPr>
              <w:lastRenderedPageBreak/>
              <w:t>Writing, Reading, Listening and Speaking domain tasks dedicated to monitor English language development are integrated into the core instructional resources (</w:t>
            </w:r>
            <w:r>
              <w:rPr>
                <w:rFonts w:ascii="Muli" w:eastAsia="Muli" w:hAnsi="Muli" w:cs="Muli"/>
                <w:b/>
                <w:color w:val="FF126D"/>
                <w:sz w:val="20"/>
                <w:szCs w:val="20"/>
              </w:rPr>
              <w:t>DQ3L3 TE p. 111, DQ4L2 TE p. 137</w:t>
            </w:r>
            <w:r>
              <w:rPr>
                <w:rFonts w:ascii="Muli" w:eastAsia="Muli" w:hAnsi="Muli" w:cs="Muli"/>
                <w:sz w:val="20"/>
                <w:szCs w:val="20"/>
              </w:rPr>
              <w:t>) and the on-level reader lessons (</w:t>
            </w:r>
            <w:r>
              <w:rPr>
                <w:rFonts w:ascii="Muli" w:eastAsia="Muli" w:hAnsi="Muli" w:cs="Muli"/>
                <w:b/>
                <w:color w:val="FF126D"/>
                <w:sz w:val="20"/>
                <w:szCs w:val="20"/>
              </w:rPr>
              <w:t>TE Chapter 3 Second Read, p. 231</w:t>
            </w:r>
            <w:r>
              <w:rPr>
                <w:rFonts w:ascii="Muli" w:eastAsia="Muli" w:hAnsi="Muli" w:cs="Muli"/>
                <w:sz w:val="20"/>
                <w:szCs w:val="20"/>
              </w:rPr>
              <w:t>).</w:t>
            </w:r>
            <w:r>
              <w:rPr>
                <w:rFonts w:ascii="Muli" w:eastAsia="Muli" w:hAnsi="Muli" w:cs="Muli"/>
                <w:sz w:val="20"/>
                <w:szCs w:val="20"/>
              </w:rPr>
              <w:tab/>
            </w:r>
          </w:p>
        </w:tc>
        <w:tc>
          <w:tcPr>
            <w:tcW w:w="4665" w:type="dxa"/>
          </w:tcPr>
          <w:p w14:paraId="69D9691C" w14:textId="77777777" w:rsidR="003959B7" w:rsidRDefault="00C5473B">
            <w:pPr>
              <w:pStyle w:val="normal0"/>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502BDF20" wp14:editId="3E1BBC2C">
                  <wp:extent cx="2743835" cy="2662869"/>
                  <wp:effectExtent l="12700" t="12700" r="12700" b="12700"/>
                  <wp:docPr id="5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3"/>
                          <a:srcRect/>
                          <a:stretch>
                            <a:fillRect/>
                          </a:stretch>
                        </pic:blipFill>
                        <pic:spPr>
                          <a:xfrm>
                            <a:off x="0" y="0"/>
                            <a:ext cx="2743835" cy="2662869"/>
                          </a:xfrm>
                          <a:prstGeom prst="rect">
                            <a:avLst/>
                          </a:prstGeom>
                          <a:ln w="12700">
                            <a:solidFill>
                              <a:srgbClr val="D9D9D9"/>
                            </a:solidFill>
                            <a:prstDash val="solid"/>
                          </a:ln>
                        </pic:spPr>
                      </pic:pic>
                    </a:graphicData>
                  </a:graphic>
                </wp:inline>
              </w:drawing>
            </w:r>
          </w:p>
          <w:p w14:paraId="54A248FD" w14:textId="77777777" w:rsidR="003959B7" w:rsidRDefault="00C5473B">
            <w:pPr>
              <w:pStyle w:val="normal0"/>
              <w:ind w:right="180" w:firstLine="90"/>
              <w:rPr>
                <w:rFonts w:ascii="Muli" w:eastAsia="Muli" w:hAnsi="Muli" w:cs="Muli"/>
                <w:b/>
                <w:color w:val="FF126D"/>
                <w:sz w:val="20"/>
                <w:szCs w:val="20"/>
              </w:rPr>
            </w:pPr>
            <w:r>
              <w:rPr>
                <w:rFonts w:ascii="Muli" w:eastAsia="Muli" w:hAnsi="Muli" w:cs="Muli"/>
                <w:b/>
                <w:color w:val="FF126D"/>
                <w:sz w:val="20"/>
                <w:szCs w:val="20"/>
              </w:rPr>
              <w:t>DQ3L3 TE p. 111</w:t>
            </w:r>
          </w:p>
          <w:p w14:paraId="70D6E860" w14:textId="77777777" w:rsidR="003959B7" w:rsidRDefault="00C5473B">
            <w:pPr>
              <w:pStyle w:val="normal0"/>
              <w:ind w:left="180" w:right="18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90EACE4" wp14:editId="530B768D">
                  <wp:extent cx="2751455" cy="2462778"/>
                  <wp:effectExtent l="12700" t="12700" r="12700" b="12700"/>
                  <wp:docPr id="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4"/>
                          <a:srcRect/>
                          <a:stretch>
                            <a:fillRect/>
                          </a:stretch>
                        </pic:blipFill>
                        <pic:spPr>
                          <a:xfrm>
                            <a:off x="0" y="0"/>
                            <a:ext cx="2751455" cy="2462778"/>
                          </a:xfrm>
                          <a:prstGeom prst="rect">
                            <a:avLst/>
                          </a:prstGeom>
                          <a:ln w="12700">
                            <a:solidFill>
                              <a:srgbClr val="D9D9D9"/>
                            </a:solidFill>
                            <a:prstDash val="solid"/>
                          </a:ln>
                        </pic:spPr>
                      </pic:pic>
                    </a:graphicData>
                  </a:graphic>
                </wp:inline>
              </w:drawing>
            </w:r>
          </w:p>
          <w:p w14:paraId="7F9D9C3D" w14:textId="77777777" w:rsidR="003959B7" w:rsidRDefault="00C5473B">
            <w:pPr>
              <w:pStyle w:val="normal0"/>
              <w:ind w:left="180" w:right="180" w:hanging="90"/>
              <w:rPr>
                <w:rFonts w:ascii="Muli" w:eastAsia="Muli" w:hAnsi="Muli" w:cs="Muli"/>
                <w:b/>
                <w:color w:val="FF126D"/>
                <w:sz w:val="20"/>
                <w:szCs w:val="20"/>
              </w:rPr>
            </w:pPr>
            <w:r>
              <w:rPr>
                <w:rFonts w:ascii="Muli" w:eastAsia="Muli" w:hAnsi="Muli" w:cs="Muli"/>
                <w:b/>
                <w:color w:val="FF126D"/>
                <w:sz w:val="20"/>
                <w:szCs w:val="20"/>
              </w:rPr>
              <w:t>DQ4L2 TE p. 137</w:t>
            </w:r>
            <w:r>
              <w:rPr>
                <w:rFonts w:ascii="Muli" w:eastAsia="Muli" w:hAnsi="Muli" w:cs="Muli"/>
                <w:b/>
                <w:noProof/>
                <w:color w:val="FF126D"/>
                <w:sz w:val="20"/>
                <w:szCs w:val="20"/>
              </w:rPr>
              <w:lastRenderedPageBreak/>
              <w:drawing>
                <wp:inline distT="114300" distB="114300" distL="114300" distR="114300" wp14:anchorId="79CFE340" wp14:editId="374DFAE6">
                  <wp:extent cx="2679065" cy="3012850"/>
                  <wp:effectExtent l="12700" t="12700" r="12700" b="1270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5"/>
                          <a:srcRect/>
                          <a:stretch>
                            <a:fillRect/>
                          </a:stretch>
                        </pic:blipFill>
                        <pic:spPr>
                          <a:xfrm>
                            <a:off x="0" y="0"/>
                            <a:ext cx="2679065" cy="3012850"/>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TE Chapter 3 Second Read, p. 231</w:t>
            </w:r>
          </w:p>
          <w:p w14:paraId="5C7FC99E" w14:textId="77777777" w:rsidR="003959B7" w:rsidRDefault="003959B7">
            <w:pPr>
              <w:pStyle w:val="normal0"/>
              <w:ind w:left="180" w:right="180" w:hanging="90"/>
              <w:rPr>
                <w:rFonts w:ascii="Muli" w:eastAsia="Muli" w:hAnsi="Muli" w:cs="Muli"/>
                <w:b/>
                <w:color w:val="FF126D"/>
                <w:sz w:val="20"/>
                <w:szCs w:val="20"/>
              </w:rPr>
            </w:pPr>
          </w:p>
        </w:tc>
      </w:tr>
      <w:tr w:rsidR="003959B7" w14:paraId="5D8E2D0F" w14:textId="77777777" w:rsidTr="00D019D8">
        <w:trPr>
          <w:trHeight w:val="440"/>
        </w:trPr>
        <w:tc>
          <w:tcPr>
            <w:tcW w:w="14614" w:type="dxa"/>
            <w:gridSpan w:val="2"/>
            <w:shd w:val="clear" w:color="auto" w:fill="CCCCCC"/>
          </w:tcPr>
          <w:p w14:paraId="54A8749A" w14:textId="77777777" w:rsidR="003959B7" w:rsidRDefault="00C5473B">
            <w:pPr>
              <w:pStyle w:val="normal0"/>
              <w:spacing w:before="44" w:line="242" w:lineRule="auto"/>
              <w:ind w:left="100"/>
              <w:rPr>
                <w:rFonts w:ascii="Muli" w:eastAsia="Muli" w:hAnsi="Muli" w:cs="Muli"/>
                <w:b/>
                <w:sz w:val="20"/>
                <w:szCs w:val="20"/>
              </w:rPr>
            </w:pPr>
            <w:r>
              <w:rPr>
                <w:rFonts w:ascii="Muli" w:eastAsia="Muli" w:hAnsi="Muli" w:cs="Muli"/>
                <w:b/>
                <w:sz w:val="20"/>
                <w:szCs w:val="20"/>
              </w:rPr>
              <w:lastRenderedPageBreak/>
              <w:t>TS5. Support to Monitor Student Progress.</w:t>
            </w:r>
          </w:p>
        </w:tc>
      </w:tr>
      <w:tr w:rsidR="003959B7" w14:paraId="6D05A655" w14:textId="77777777" w:rsidTr="00D019D8">
        <w:trPr>
          <w:trHeight w:val="760"/>
        </w:trPr>
        <w:tc>
          <w:tcPr>
            <w:tcW w:w="14614" w:type="dxa"/>
            <w:gridSpan w:val="2"/>
            <w:shd w:val="clear" w:color="auto" w:fill="EFEFEF"/>
          </w:tcPr>
          <w:p w14:paraId="32636E9E"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TS5.</w:t>
            </w:r>
          </w:p>
          <w:p w14:paraId="2B9778E5" w14:textId="77777777" w:rsidR="003959B7" w:rsidRDefault="00C5473B">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support for teachers to monitor student learning and progress over time, and make decisions about instruction and provide feedback.</w:t>
            </w:r>
          </w:p>
        </w:tc>
      </w:tr>
      <w:tr w:rsidR="003959B7" w14:paraId="5A8B326B" w14:textId="77777777" w:rsidTr="00D019D8">
        <w:trPr>
          <w:trHeight w:val="8220"/>
        </w:trPr>
        <w:tc>
          <w:tcPr>
            <w:tcW w:w="9949" w:type="dxa"/>
          </w:tcPr>
          <w:p w14:paraId="0CCAED1D" w14:textId="77777777" w:rsidR="003959B7" w:rsidRDefault="003959B7">
            <w:pPr>
              <w:pStyle w:val="normal0"/>
              <w:spacing w:before="42"/>
              <w:ind w:left="180" w:right="135"/>
              <w:rPr>
                <w:rFonts w:ascii="Muli" w:eastAsia="Muli" w:hAnsi="Muli" w:cs="Muli"/>
                <w:b/>
                <w:sz w:val="20"/>
                <w:szCs w:val="20"/>
              </w:rPr>
            </w:pPr>
          </w:p>
          <w:p w14:paraId="5FF72A1B" w14:textId="77777777" w:rsidR="003959B7" w:rsidRDefault="00C5473B">
            <w:pPr>
              <w:pStyle w:val="normal0"/>
              <w:spacing w:before="42"/>
              <w:ind w:left="180" w:right="135"/>
              <w:rPr>
                <w:rFonts w:ascii="Muli" w:eastAsia="Muli" w:hAnsi="Muli" w:cs="Muli"/>
                <w:b/>
                <w:color w:val="FF126D"/>
                <w:sz w:val="20"/>
                <w:szCs w:val="20"/>
              </w:rPr>
            </w:pPr>
            <w:r>
              <w:rPr>
                <w:rFonts w:ascii="Muli" w:eastAsia="Muli" w:hAnsi="Muli" w:cs="Muli"/>
                <w:b/>
                <w:color w:val="FF126D"/>
                <w:sz w:val="20"/>
                <w:szCs w:val="20"/>
              </w:rPr>
              <w:t>Evidence</w:t>
            </w:r>
          </w:p>
          <w:p w14:paraId="28172CF8" w14:textId="77777777" w:rsidR="003959B7" w:rsidRDefault="00C5473B">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 xml:space="preserve">There are four diagnostic pre-assessments called Pre-Explorations at strategic points in the module that assess prior knowledge and misconceptions (e.g., </w:t>
            </w:r>
            <w:r>
              <w:rPr>
                <w:rFonts w:ascii="Muli" w:eastAsia="Muli" w:hAnsi="Muli" w:cs="Muli"/>
                <w:b/>
                <w:color w:val="FF126D"/>
                <w:sz w:val="20"/>
                <w:szCs w:val="20"/>
              </w:rPr>
              <w:t>DQ1L1 TB p. 4</w:t>
            </w:r>
            <w:r>
              <w:rPr>
                <w:rFonts w:ascii="Muli" w:eastAsia="Muli" w:hAnsi="Muli" w:cs="Muli"/>
                <w:sz w:val="20"/>
                <w:szCs w:val="20"/>
              </w:rPr>
              <w:t xml:space="preserve"> and </w:t>
            </w:r>
            <w:r>
              <w:rPr>
                <w:rFonts w:ascii="Muli" w:eastAsia="Muli" w:hAnsi="Muli" w:cs="Muli"/>
                <w:b/>
                <w:color w:val="FF126D"/>
                <w:sz w:val="20"/>
                <w:szCs w:val="20"/>
              </w:rPr>
              <w:t>DQ4L4 TB p. 88</w:t>
            </w:r>
            <w:r>
              <w:rPr>
                <w:rFonts w:ascii="Muli" w:eastAsia="Muli" w:hAnsi="Muli" w:cs="Muli"/>
                <w:sz w:val="20"/>
                <w:szCs w:val="20"/>
              </w:rPr>
              <w:t>). Notes in the TE and Progress Trackers support teachers to monitor students as they clear up their misconceptions and master the three dimensions, giving suggestions for how to tailor instruction accordingly.</w:t>
            </w:r>
            <w:r>
              <w:rPr>
                <w:rFonts w:ascii="Muli" w:eastAsia="Muli" w:hAnsi="Muli" w:cs="Muli"/>
                <w:sz w:val="20"/>
                <w:szCs w:val="20"/>
              </w:rPr>
              <w:tab/>
            </w:r>
          </w:p>
        </w:tc>
        <w:tc>
          <w:tcPr>
            <w:tcW w:w="4665" w:type="dxa"/>
          </w:tcPr>
          <w:p w14:paraId="1C24F3CC" w14:textId="77777777" w:rsidR="003959B7" w:rsidRDefault="00C5473B">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459F0BB7" wp14:editId="0191543C">
                  <wp:extent cx="2800985" cy="1436634"/>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1"/>
                          <a:srcRect/>
                          <a:stretch>
                            <a:fillRect/>
                          </a:stretch>
                        </pic:blipFill>
                        <pic:spPr>
                          <a:xfrm>
                            <a:off x="0" y="0"/>
                            <a:ext cx="2800985" cy="1436634"/>
                          </a:xfrm>
                          <a:prstGeom prst="rect">
                            <a:avLst/>
                          </a:prstGeom>
                          <a:ln/>
                        </pic:spPr>
                      </pic:pic>
                    </a:graphicData>
                  </a:graphic>
                </wp:inline>
              </w:drawing>
            </w:r>
          </w:p>
          <w:p w14:paraId="50A99A72"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color w:val="FF126D"/>
                <w:sz w:val="20"/>
                <w:szCs w:val="20"/>
              </w:rPr>
              <w:t>DQ1L1 TB p. 4</w:t>
            </w:r>
            <w:r>
              <w:rPr>
                <w:rFonts w:ascii="Muli" w:eastAsia="Muli" w:hAnsi="Muli" w:cs="Muli"/>
                <w:b/>
                <w:noProof/>
                <w:color w:val="FF126D"/>
                <w:sz w:val="20"/>
                <w:szCs w:val="20"/>
              </w:rPr>
              <w:drawing>
                <wp:inline distT="114300" distB="114300" distL="114300" distR="114300" wp14:anchorId="3F5932BA" wp14:editId="5BFBD480">
                  <wp:extent cx="2359025" cy="3135220"/>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3"/>
                          <a:srcRect/>
                          <a:stretch>
                            <a:fillRect/>
                          </a:stretch>
                        </pic:blipFill>
                        <pic:spPr>
                          <a:xfrm>
                            <a:off x="0" y="0"/>
                            <a:ext cx="2359025" cy="3135220"/>
                          </a:xfrm>
                          <a:prstGeom prst="rect">
                            <a:avLst/>
                          </a:prstGeom>
                          <a:ln/>
                        </pic:spPr>
                      </pic:pic>
                    </a:graphicData>
                  </a:graphic>
                </wp:inline>
              </w:drawing>
            </w:r>
          </w:p>
          <w:p w14:paraId="1596F03E"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color w:val="FF126D"/>
                <w:sz w:val="20"/>
                <w:szCs w:val="20"/>
              </w:rPr>
              <w:t>DQ4L4 TB p. 88</w:t>
            </w:r>
          </w:p>
        </w:tc>
      </w:tr>
      <w:tr w:rsidR="003959B7" w14:paraId="5C92CF5B" w14:textId="77777777" w:rsidTr="00D019D8">
        <w:trPr>
          <w:trHeight w:val="2780"/>
        </w:trPr>
        <w:tc>
          <w:tcPr>
            <w:tcW w:w="9949" w:type="dxa"/>
          </w:tcPr>
          <w:p w14:paraId="291A200B" w14:textId="77777777" w:rsidR="003959B7" w:rsidRDefault="00C5473B">
            <w:pPr>
              <w:pStyle w:val="normal0"/>
              <w:ind w:left="720" w:right="135"/>
              <w:rPr>
                <w:rFonts w:ascii="Muli" w:eastAsia="Muli" w:hAnsi="Muli" w:cs="Muli"/>
                <w:b/>
                <w:sz w:val="20"/>
                <w:szCs w:val="20"/>
              </w:rPr>
            </w:pPr>
            <w:r>
              <w:rPr>
                <w:rFonts w:ascii="Muli" w:eastAsia="Muli" w:hAnsi="Muli" w:cs="Muli"/>
                <w:sz w:val="20"/>
                <w:szCs w:val="20"/>
              </w:rPr>
              <w:lastRenderedPageBreak/>
              <w:t>See, for example,</w:t>
            </w:r>
            <w:r>
              <w:rPr>
                <w:rFonts w:ascii="Muli" w:eastAsia="Muli" w:hAnsi="Muli" w:cs="Muli"/>
                <w:color w:val="FF0000"/>
                <w:sz w:val="20"/>
                <w:szCs w:val="20"/>
              </w:rPr>
              <w:t xml:space="preserve"> </w:t>
            </w:r>
            <w:r>
              <w:rPr>
                <w:rFonts w:ascii="Muli" w:eastAsia="Muli" w:hAnsi="Muli" w:cs="Muli"/>
                <w:b/>
                <w:color w:val="FF126D"/>
                <w:sz w:val="20"/>
                <w:szCs w:val="20"/>
              </w:rPr>
              <w:t>DQ2L4 TE Report p. 62</w:t>
            </w:r>
            <w:r>
              <w:rPr>
                <w:rFonts w:ascii="Muli" w:eastAsia="Muli" w:hAnsi="Muli" w:cs="Muli"/>
                <w:sz w:val="20"/>
                <w:szCs w:val="20"/>
              </w:rPr>
              <w:t>, DQ3L1 TE Report p. 97,</w:t>
            </w:r>
            <w:r>
              <w:rPr>
                <w:rFonts w:ascii="Muli" w:eastAsia="Muli" w:hAnsi="Muli" w:cs="Muli"/>
                <w:b/>
                <w:sz w:val="20"/>
                <w:szCs w:val="20"/>
              </w:rPr>
              <w:t xml:space="preserve"> </w:t>
            </w:r>
            <w:r>
              <w:rPr>
                <w:rFonts w:ascii="Muli" w:eastAsia="Muli" w:hAnsi="Muli" w:cs="Muli"/>
                <w:sz w:val="20"/>
                <w:szCs w:val="20"/>
              </w:rPr>
              <w:t>and</w:t>
            </w:r>
            <w:r>
              <w:rPr>
                <w:rFonts w:ascii="Muli" w:eastAsia="Muli" w:hAnsi="Muli" w:cs="Muli"/>
                <w:b/>
                <w:color w:val="FF0000"/>
                <w:sz w:val="20"/>
                <w:szCs w:val="20"/>
              </w:rPr>
              <w:t xml:space="preserve"> </w:t>
            </w:r>
            <w:r>
              <w:rPr>
                <w:rFonts w:ascii="Muli" w:eastAsia="Muli" w:hAnsi="Muli" w:cs="Muli"/>
                <w:b/>
                <w:color w:val="FF126D"/>
                <w:sz w:val="20"/>
                <w:szCs w:val="20"/>
              </w:rPr>
              <w:t>DQ4L3 TE Investigate p. 142</w:t>
            </w:r>
            <w:r>
              <w:rPr>
                <w:rFonts w:ascii="Muli" w:eastAsia="Muli" w:hAnsi="Muli" w:cs="Muli"/>
                <w:sz w:val="20"/>
                <w:szCs w:val="20"/>
              </w:rPr>
              <w:t>.</w:t>
            </w:r>
            <w:r>
              <w:rPr>
                <w:rFonts w:ascii="Muli" w:eastAsia="Muli" w:hAnsi="Muli" w:cs="Muli"/>
                <w:sz w:val="20"/>
                <w:szCs w:val="20"/>
              </w:rPr>
              <w:tab/>
            </w:r>
          </w:p>
        </w:tc>
        <w:tc>
          <w:tcPr>
            <w:tcW w:w="4665" w:type="dxa"/>
          </w:tcPr>
          <w:p w14:paraId="6A4C126C"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7140A04" wp14:editId="06D11B4A">
                  <wp:extent cx="2808605" cy="1241222"/>
                  <wp:effectExtent l="12700" t="12700" r="12700" b="127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08605" cy="1241222"/>
                          </a:xfrm>
                          <a:prstGeom prst="rect">
                            <a:avLst/>
                          </a:prstGeom>
                          <a:ln w="12700">
                            <a:solidFill>
                              <a:srgbClr val="D9D9D9"/>
                            </a:solidFill>
                            <a:prstDash val="solid"/>
                          </a:ln>
                        </pic:spPr>
                      </pic:pic>
                    </a:graphicData>
                  </a:graphic>
                </wp:inline>
              </w:drawing>
            </w:r>
          </w:p>
          <w:p w14:paraId="036B9D91"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color w:val="FF126D"/>
                <w:sz w:val="20"/>
                <w:szCs w:val="20"/>
              </w:rPr>
              <w:t>DQ2L4 TE Report p. 62</w:t>
            </w:r>
          </w:p>
          <w:p w14:paraId="52887F78" w14:textId="77777777" w:rsidR="003959B7" w:rsidRDefault="003959B7">
            <w:pPr>
              <w:pStyle w:val="normal0"/>
              <w:ind w:left="90" w:right="135"/>
              <w:rPr>
                <w:rFonts w:ascii="Muli" w:eastAsia="Muli" w:hAnsi="Muli" w:cs="Muli"/>
                <w:b/>
                <w:color w:val="FF126D"/>
                <w:sz w:val="20"/>
                <w:szCs w:val="20"/>
              </w:rPr>
            </w:pPr>
          </w:p>
          <w:p w14:paraId="598EF67C"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F10A593" wp14:editId="5CACBB03">
                  <wp:extent cx="2802890" cy="1132293"/>
                  <wp:effectExtent l="12700" t="12700" r="12700" b="1270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srcRect/>
                          <a:stretch>
                            <a:fillRect/>
                          </a:stretch>
                        </pic:blipFill>
                        <pic:spPr>
                          <a:xfrm>
                            <a:off x="0" y="0"/>
                            <a:ext cx="2802890" cy="1132293"/>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DQ4L3 TE Investigate p. 142</w:t>
            </w:r>
          </w:p>
        </w:tc>
      </w:tr>
      <w:tr w:rsidR="003959B7" w14:paraId="38BD335C" w14:textId="77777777" w:rsidTr="00D019D8">
        <w:trPr>
          <w:trHeight w:val="2100"/>
        </w:trPr>
        <w:tc>
          <w:tcPr>
            <w:tcW w:w="9949" w:type="dxa"/>
          </w:tcPr>
          <w:p w14:paraId="0729CDDF" w14:textId="77777777" w:rsidR="003959B7" w:rsidRDefault="00C5473B">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Downloadable Progress Trackers support teachers to track students' mastery of their misconceptions as assessed in the Pre-Explorations as well as the results of formative assessments of the three dimensions across the DQs (for example, the Energy in Ecosystems Progress Tracker used in</w:t>
            </w:r>
            <w:r>
              <w:rPr>
                <w:rFonts w:ascii="Muli" w:eastAsia="Muli" w:hAnsi="Muli" w:cs="Muli"/>
                <w:color w:val="FF0000"/>
                <w:sz w:val="20"/>
                <w:szCs w:val="20"/>
              </w:rPr>
              <w:t xml:space="preserve"> </w:t>
            </w:r>
            <w:r>
              <w:rPr>
                <w:rFonts w:ascii="Muli" w:eastAsia="Muli" w:hAnsi="Muli" w:cs="Muli"/>
                <w:sz w:val="20"/>
                <w:szCs w:val="20"/>
              </w:rPr>
              <w:t xml:space="preserve">DQ4). Guidance for teachers on how to adjust instruction for students needing more support to clear up their misconceptions is provided at point of use in the instructions (for example, </w:t>
            </w:r>
            <w:r>
              <w:rPr>
                <w:rFonts w:ascii="Muli" w:eastAsia="Muli" w:hAnsi="Muli" w:cs="Muli"/>
                <w:b/>
                <w:color w:val="FF126D"/>
                <w:sz w:val="20"/>
                <w:szCs w:val="20"/>
              </w:rPr>
              <w:t>DQ2L4 TE Report p. 62</w:t>
            </w:r>
            <w:r>
              <w:rPr>
                <w:rFonts w:ascii="Muli" w:eastAsia="Muli" w:hAnsi="Muli" w:cs="Muli"/>
                <w:sz w:val="20"/>
                <w:szCs w:val="20"/>
              </w:rPr>
              <w:t>, DQ3L1 TE Report p. 97,</w:t>
            </w:r>
            <w:r>
              <w:rPr>
                <w:rFonts w:ascii="Muli" w:eastAsia="Muli" w:hAnsi="Muli" w:cs="Muli"/>
                <w:b/>
                <w:sz w:val="20"/>
                <w:szCs w:val="20"/>
              </w:rPr>
              <w:t xml:space="preserve"> </w:t>
            </w:r>
            <w:r>
              <w:rPr>
                <w:rFonts w:ascii="Muli" w:eastAsia="Muli" w:hAnsi="Muli" w:cs="Muli"/>
                <w:sz w:val="20"/>
                <w:szCs w:val="20"/>
              </w:rPr>
              <w:t>and</w:t>
            </w:r>
            <w:r>
              <w:rPr>
                <w:rFonts w:ascii="Muli" w:eastAsia="Muli" w:hAnsi="Muli" w:cs="Muli"/>
                <w:b/>
                <w:sz w:val="20"/>
                <w:szCs w:val="20"/>
              </w:rPr>
              <w:t xml:space="preserve"> </w:t>
            </w:r>
            <w:r>
              <w:rPr>
                <w:rFonts w:ascii="Muli" w:eastAsia="Muli" w:hAnsi="Muli" w:cs="Muli"/>
                <w:b/>
                <w:color w:val="FF126D"/>
                <w:sz w:val="20"/>
                <w:szCs w:val="20"/>
              </w:rPr>
              <w:t>DQ4L3 TE Investigate p. 142</w:t>
            </w:r>
            <w:r>
              <w:rPr>
                <w:rFonts w:ascii="Muli" w:eastAsia="Muli" w:hAnsi="Muli" w:cs="Muli"/>
                <w:sz w:val="20"/>
                <w:szCs w:val="20"/>
              </w:rPr>
              <w:t>).</w:t>
            </w:r>
            <w:r>
              <w:rPr>
                <w:rFonts w:ascii="Muli" w:eastAsia="Muli" w:hAnsi="Muli" w:cs="Muli"/>
                <w:sz w:val="20"/>
                <w:szCs w:val="20"/>
              </w:rPr>
              <w:tab/>
            </w:r>
          </w:p>
        </w:tc>
        <w:tc>
          <w:tcPr>
            <w:tcW w:w="4665" w:type="dxa"/>
          </w:tcPr>
          <w:p w14:paraId="69CBA87E" w14:textId="77777777" w:rsidR="003959B7" w:rsidRDefault="00C5473B">
            <w:pPr>
              <w:pStyle w:val="normal0"/>
              <w:ind w:left="9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98F4E49" wp14:editId="39BB2B73">
                  <wp:extent cx="2766695" cy="1246833"/>
                  <wp:effectExtent l="12700" t="12700" r="12700" b="1270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r="1913"/>
                          <a:stretch>
                            <a:fillRect/>
                          </a:stretch>
                        </pic:blipFill>
                        <pic:spPr>
                          <a:xfrm>
                            <a:off x="0" y="0"/>
                            <a:ext cx="2766695" cy="1246833"/>
                          </a:xfrm>
                          <a:prstGeom prst="rect">
                            <a:avLst/>
                          </a:prstGeom>
                          <a:ln w="12700">
                            <a:solidFill>
                              <a:srgbClr val="CCCCCC"/>
                            </a:solidFill>
                            <a:prstDash val="solid"/>
                          </a:ln>
                        </pic:spPr>
                      </pic:pic>
                    </a:graphicData>
                  </a:graphic>
                </wp:inline>
              </w:drawing>
            </w:r>
          </w:p>
          <w:p w14:paraId="450BEABA"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color w:val="FF126D"/>
                <w:sz w:val="20"/>
                <w:szCs w:val="20"/>
              </w:rPr>
              <w:t>DQ2L4 TE Report p. 62</w:t>
            </w:r>
          </w:p>
          <w:p w14:paraId="7538AC32" w14:textId="77777777" w:rsidR="003959B7" w:rsidRDefault="003959B7">
            <w:pPr>
              <w:pStyle w:val="normal0"/>
              <w:ind w:left="90" w:right="135"/>
              <w:rPr>
                <w:rFonts w:ascii="Muli" w:eastAsia="Muli" w:hAnsi="Muli" w:cs="Muli"/>
                <w:b/>
                <w:color w:val="FF126D"/>
                <w:sz w:val="20"/>
                <w:szCs w:val="20"/>
              </w:rPr>
            </w:pPr>
          </w:p>
          <w:p w14:paraId="1A32F712"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C7EA7F4" wp14:editId="01FE18EE">
                  <wp:extent cx="2812415" cy="1134038"/>
                  <wp:effectExtent l="12700" t="12700" r="12700" b="1270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2812415" cy="1134038"/>
                          </a:xfrm>
                          <a:prstGeom prst="rect">
                            <a:avLst/>
                          </a:prstGeom>
                          <a:ln w="12700">
                            <a:solidFill>
                              <a:srgbClr val="CCCCCC"/>
                            </a:solidFill>
                            <a:prstDash val="solid"/>
                          </a:ln>
                        </pic:spPr>
                      </pic:pic>
                    </a:graphicData>
                  </a:graphic>
                </wp:inline>
              </w:drawing>
            </w:r>
          </w:p>
          <w:p w14:paraId="303D3F96" w14:textId="77777777" w:rsidR="003959B7" w:rsidRDefault="00C5473B">
            <w:pPr>
              <w:pStyle w:val="normal0"/>
              <w:ind w:left="90" w:right="135"/>
              <w:rPr>
                <w:rFonts w:ascii="Muli" w:eastAsia="Muli" w:hAnsi="Muli" w:cs="Muli"/>
                <w:b/>
                <w:color w:val="FF126D"/>
                <w:sz w:val="20"/>
                <w:szCs w:val="20"/>
              </w:rPr>
            </w:pPr>
            <w:r>
              <w:rPr>
                <w:rFonts w:ascii="Muli" w:eastAsia="Muli" w:hAnsi="Muli" w:cs="Muli"/>
                <w:b/>
                <w:color w:val="FF126D"/>
                <w:sz w:val="20"/>
                <w:szCs w:val="20"/>
              </w:rPr>
              <w:t>DQ4L3 TE Investigate p. 142</w:t>
            </w:r>
          </w:p>
        </w:tc>
      </w:tr>
    </w:tbl>
    <w:p w14:paraId="4D683068" w14:textId="77777777" w:rsidR="003959B7" w:rsidRDefault="003959B7">
      <w:pPr>
        <w:pStyle w:val="normal0"/>
        <w:spacing w:line="276" w:lineRule="auto"/>
        <w:rPr>
          <w:rFonts w:ascii="Muli" w:eastAsia="Muli" w:hAnsi="Muli" w:cs="Muli"/>
          <w:sz w:val="20"/>
          <w:szCs w:val="20"/>
        </w:rPr>
      </w:pPr>
    </w:p>
    <w:p w14:paraId="3115D368" w14:textId="77777777" w:rsidR="003959B7" w:rsidRDefault="003959B7">
      <w:pPr>
        <w:pStyle w:val="normal0"/>
        <w:pBdr>
          <w:top w:val="nil"/>
          <w:left w:val="nil"/>
          <w:bottom w:val="nil"/>
          <w:right w:val="nil"/>
          <w:between w:val="nil"/>
        </w:pBdr>
        <w:spacing w:line="276" w:lineRule="auto"/>
        <w:ind w:left="180"/>
        <w:rPr>
          <w:rFonts w:ascii="Muli" w:eastAsia="Muli" w:hAnsi="Muli" w:cs="Muli"/>
          <w:color w:val="000000"/>
          <w:sz w:val="20"/>
          <w:szCs w:val="20"/>
        </w:rPr>
      </w:pPr>
    </w:p>
    <w:sectPr w:rsidR="003959B7" w:rsidSect="00C5473B">
      <w:headerReference w:type="default" r:id="rId55"/>
      <w:footerReference w:type="default" r:id="rId56"/>
      <w:headerReference w:type="first" r:id="rId57"/>
      <w:pgSz w:w="15840" w:h="12240" w:orient="landscape"/>
      <w:pgMar w:top="1135" w:right="640" w:bottom="560" w:left="1000" w:header="360" w:footer="443" w:gutter="0"/>
      <w:pgNumType w:start="1"/>
      <w:cols w:space="720" w:equalWidth="0">
        <w:col w:w="1472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D4CD1" w14:textId="77777777" w:rsidR="00A43138" w:rsidRDefault="00C5473B">
      <w:r>
        <w:separator/>
      </w:r>
    </w:p>
  </w:endnote>
  <w:endnote w:type="continuationSeparator" w:id="0">
    <w:p w14:paraId="7A8B853D" w14:textId="77777777" w:rsidR="00A43138" w:rsidRDefault="00C5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09217" w14:textId="184BABA1" w:rsidR="003959B7" w:rsidRDefault="00834C81" w:rsidP="00834C81">
    <w:pPr>
      <w:pStyle w:val="normal0"/>
      <w:pBdr>
        <w:top w:val="nil"/>
        <w:left w:val="nil"/>
        <w:bottom w:val="nil"/>
        <w:right w:val="nil"/>
        <w:between w:val="nil"/>
      </w:pBdr>
      <w:jc w:val="right"/>
      <w:rPr>
        <w:color w:val="000000"/>
        <w:sz w:val="20"/>
        <w:szCs w:val="20"/>
      </w:rPr>
    </w:pPr>
    <w:r>
      <w:rPr>
        <w:rStyle w:val="PageNumber"/>
      </w:rPr>
      <w:fldChar w:fldCharType="begin"/>
    </w:r>
    <w:r>
      <w:rPr>
        <w:rStyle w:val="PageNumber"/>
      </w:rPr>
      <w:instrText xml:space="preserve"> PAGE </w:instrText>
    </w:r>
    <w:r>
      <w:rPr>
        <w:rStyle w:val="PageNumber"/>
      </w:rPr>
      <w:fldChar w:fldCharType="separate"/>
    </w:r>
    <w:r w:rsidR="00EA3167">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F1B69" w14:textId="77777777" w:rsidR="00A43138" w:rsidRDefault="00C5473B">
      <w:r>
        <w:separator/>
      </w:r>
    </w:p>
  </w:footnote>
  <w:footnote w:type="continuationSeparator" w:id="0">
    <w:p w14:paraId="71033F52" w14:textId="77777777" w:rsidR="00A43138" w:rsidRDefault="00C547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115EA" w14:textId="77777777" w:rsidR="003959B7" w:rsidRDefault="00C5473B">
    <w:pPr>
      <w:pStyle w:val="normal0"/>
    </w:pPr>
    <w:r>
      <w:rPr>
        <w:noProof/>
      </w:rPr>
      <w:drawing>
        <wp:anchor distT="0" distB="0" distL="0" distR="0" simplePos="0" relativeHeight="251658240" behindDoc="0" locked="0" layoutInCell="1" hidden="0" allowOverlap="1" wp14:anchorId="3CA26EA7" wp14:editId="3E7BD070">
          <wp:simplePos x="0" y="0"/>
          <wp:positionH relativeFrom="column">
            <wp:posOffset>7886700</wp:posOffset>
          </wp:positionH>
          <wp:positionV relativeFrom="paragraph">
            <wp:posOffset>9525</wp:posOffset>
          </wp:positionV>
          <wp:extent cx="1504950" cy="360045"/>
          <wp:effectExtent l="0" t="0" r="0" b="0"/>
          <wp:wrapTopAndBottom distT="0" distB="0"/>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54206" w14:textId="77777777" w:rsidR="003959B7" w:rsidRDefault="00C5473B">
    <w:pPr>
      <w:pStyle w:val="normal0"/>
    </w:pPr>
    <w:r>
      <w:rPr>
        <w:noProof/>
      </w:rPr>
      <w:drawing>
        <wp:anchor distT="0" distB="0" distL="0" distR="0" simplePos="0" relativeHeight="251659264" behindDoc="0" locked="0" layoutInCell="1" hidden="0" allowOverlap="1" wp14:anchorId="2EF83560" wp14:editId="032471CE">
          <wp:simplePos x="0" y="0"/>
          <wp:positionH relativeFrom="column">
            <wp:posOffset>0</wp:posOffset>
          </wp:positionH>
          <wp:positionV relativeFrom="paragraph">
            <wp:posOffset>-95249</wp:posOffset>
          </wp:positionV>
          <wp:extent cx="9544050" cy="1143000"/>
          <wp:effectExtent l="0" t="0" r="0" b="0"/>
          <wp:wrapSquare wrapText="bothSides" distT="0" distB="0" distL="0" distR="0"/>
          <wp:docPr id="6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t="9090" b="6993"/>
                  <a:stretch>
                    <a:fillRect/>
                  </a:stretch>
                </pic:blipFill>
                <pic:spPr>
                  <a:xfrm>
                    <a:off x="0" y="0"/>
                    <a:ext cx="9544050" cy="11430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704B"/>
    <w:multiLevelType w:val="multilevel"/>
    <w:tmpl w:val="87121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565F94"/>
    <w:multiLevelType w:val="multilevel"/>
    <w:tmpl w:val="1AA6B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593708"/>
    <w:multiLevelType w:val="multilevel"/>
    <w:tmpl w:val="E336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944223"/>
    <w:multiLevelType w:val="multilevel"/>
    <w:tmpl w:val="0B225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57C6A4C"/>
    <w:multiLevelType w:val="multilevel"/>
    <w:tmpl w:val="839A4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5A1EF7"/>
    <w:multiLevelType w:val="multilevel"/>
    <w:tmpl w:val="34040E60"/>
    <w:lvl w:ilvl="0">
      <w:numFmt w:val="bullet"/>
      <w:lvlText w:val="•"/>
      <w:lvlJc w:val="left"/>
      <w:pPr>
        <w:ind w:left="834" w:hanging="359"/>
      </w:pPr>
      <w:rPr>
        <w:rFonts w:ascii="Arial" w:eastAsia="Arial" w:hAnsi="Arial" w:cs="Arial"/>
        <w:sz w:val="20"/>
        <w:szCs w:val="20"/>
      </w:rPr>
    </w:lvl>
    <w:lvl w:ilvl="1">
      <w:numFmt w:val="bullet"/>
      <w:lvlText w:val="•"/>
      <w:lvlJc w:val="left"/>
      <w:pPr>
        <w:ind w:left="1636" w:hanging="360"/>
      </w:pPr>
    </w:lvl>
    <w:lvl w:ilvl="2">
      <w:numFmt w:val="bullet"/>
      <w:lvlText w:val="•"/>
      <w:lvlJc w:val="left"/>
      <w:pPr>
        <w:ind w:left="2433" w:hanging="360"/>
      </w:pPr>
    </w:lvl>
    <w:lvl w:ilvl="3">
      <w:numFmt w:val="bullet"/>
      <w:lvlText w:val="•"/>
      <w:lvlJc w:val="left"/>
      <w:pPr>
        <w:ind w:left="3230" w:hanging="360"/>
      </w:pPr>
    </w:lvl>
    <w:lvl w:ilvl="4">
      <w:numFmt w:val="bullet"/>
      <w:lvlText w:val="•"/>
      <w:lvlJc w:val="left"/>
      <w:pPr>
        <w:ind w:left="4027" w:hanging="360"/>
      </w:pPr>
    </w:lvl>
    <w:lvl w:ilvl="5">
      <w:numFmt w:val="bullet"/>
      <w:lvlText w:val="•"/>
      <w:lvlJc w:val="left"/>
      <w:pPr>
        <w:ind w:left="4824" w:hanging="360"/>
      </w:pPr>
    </w:lvl>
    <w:lvl w:ilvl="6">
      <w:numFmt w:val="bullet"/>
      <w:lvlText w:val="•"/>
      <w:lvlJc w:val="left"/>
      <w:pPr>
        <w:ind w:left="5621" w:hanging="360"/>
      </w:pPr>
    </w:lvl>
    <w:lvl w:ilvl="7">
      <w:numFmt w:val="bullet"/>
      <w:lvlText w:val="•"/>
      <w:lvlJc w:val="left"/>
      <w:pPr>
        <w:ind w:left="6418" w:hanging="360"/>
      </w:pPr>
    </w:lvl>
    <w:lvl w:ilvl="8">
      <w:numFmt w:val="bullet"/>
      <w:lvlText w:val="•"/>
      <w:lvlJc w:val="left"/>
      <w:pPr>
        <w:ind w:left="7215" w:hanging="360"/>
      </w:pPr>
    </w:lvl>
  </w:abstractNum>
  <w:abstractNum w:abstractNumId="6">
    <w:nsid w:val="17873FC8"/>
    <w:multiLevelType w:val="multilevel"/>
    <w:tmpl w:val="56624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65072EA"/>
    <w:multiLevelType w:val="multilevel"/>
    <w:tmpl w:val="84A416A8"/>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8">
    <w:nsid w:val="30834F1B"/>
    <w:multiLevelType w:val="multilevel"/>
    <w:tmpl w:val="FACE3806"/>
    <w:lvl w:ilvl="0">
      <w:numFmt w:val="bullet"/>
      <w:lvlText w:val="•"/>
      <w:lvlJc w:val="left"/>
      <w:pPr>
        <w:ind w:left="835" w:hanging="360"/>
      </w:pPr>
      <w:rPr>
        <w:rFonts w:ascii="Arial" w:eastAsia="Arial" w:hAnsi="Arial" w:cs="Arial"/>
        <w:sz w:val="20"/>
        <w:szCs w:val="20"/>
      </w:rPr>
    </w:lvl>
    <w:lvl w:ilvl="1">
      <w:numFmt w:val="bullet"/>
      <w:lvlText w:val="•"/>
      <w:lvlJc w:val="left"/>
      <w:pPr>
        <w:ind w:left="1636" w:hanging="360"/>
      </w:pPr>
    </w:lvl>
    <w:lvl w:ilvl="2">
      <w:numFmt w:val="bullet"/>
      <w:lvlText w:val="•"/>
      <w:lvlJc w:val="left"/>
      <w:pPr>
        <w:ind w:left="2433" w:hanging="360"/>
      </w:pPr>
    </w:lvl>
    <w:lvl w:ilvl="3">
      <w:numFmt w:val="bullet"/>
      <w:lvlText w:val="•"/>
      <w:lvlJc w:val="left"/>
      <w:pPr>
        <w:ind w:left="3230" w:hanging="360"/>
      </w:pPr>
    </w:lvl>
    <w:lvl w:ilvl="4">
      <w:numFmt w:val="bullet"/>
      <w:lvlText w:val="•"/>
      <w:lvlJc w:val="left"/>
      <w:pPr>
        <w:ind w:left="4027" w:hanging="360"/>
      </w:pPr>
    </w:lvl>
    <w:lvl w:ilvl="5">
      <w:numFmt w:val="bullet"/>
      <w:lvlText w:val="•"/>
      <w:lvlJc w:val="left"/>
      <w:pPr>
        <w:ind w:left="4824" w:hanging="360"/>
      </w:pPr>
    </w:lvl>
    <w:lvl w:ilvl="6">
      <w:numFmt w:val="bullet"/>
      <w:lvlText w:val="•"/>
      <w:lvlJc w:val="left"/>
      <w:pPr>
        <w:ind w:left="5621" w:hanging="360"/>
      </w:pPr>
    </w:lvl>
    <w:lvl w:ilvl="7">
      <w:numFmt w:val="bullet"/>
      <w:lvlText w:val="•"/>
      <w:lvlJc w:val="left"/>
      <w:pPr>
        <w:ind w:left="6418" w:hanging="360"/>
      </w:pPr>
    </w:lvl>
    <w:lvl w:ilvl="8">
      <w:numFmt w:val="bullet"/>
      <w:lvlText w:val="•"/>
      <w:lvlJc w:val="left"/>
      <w:pPr>
        <w:ind w:left="7215" w:hanging="360"/>
      </w:pPr>
    </w:lvl>
  </w:abstractNum>
  <w:abstractNum w:abstractNumId="9">
    <w:nsid w:val="34BB376A"/>
    <w:multiLevelType w:val="multilevel"/>
    <w:tmpl w:val="5574B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8443882"/>
    <w:multiLevelType w:val="multilevel"/>
    <w:tmpl w:val="2FFA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29D3960"/>
    <w:multiLevelType w:val="multilevel"/>
    <w:tmpl w:val="A858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D57646"/>
    <w:multiLevelType w:val="multilevel"/>
    <w:tmpl w:val="67546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83E242D"/>
    <w:multiLevelType w:val="multilevel"/>
    <w:tmpl w:val="2C285122"/>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14">
    <w:nsid w:val="4DD63DB4"/>
    <w:multiLevelType w:val="multilevel"/>
    <w:tmpl w:val="EAC64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0221AC"/>
    <w:multiLevelType w:val="multilevel"/>
    <w:tmpl w:val="09265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ED715B3"/>
    <w:multiLevelType w:val="multilevel"/>
    <w:tmpl w:val="63343830"/>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17">
    <w:nsid w:val="618B52CD"/>
    <w:multiLevelType w:val="multilevel"/>
    <w:tmpl w:val="A454A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3A86137"/>
    <w:multiLevelType w:val="multilevel"/>
    <w:tmpl w:val="74DC8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6FD486B"/>
    <w:multiLevelType w:val="multilevel"/>
    <w:tmpl w:val="FCC6E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71C692E"/>
    <w:multiLevelType w:val="multilevel"/>
    <w:tmpl w:val="B2782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B185273"/>
    <w:multiLevelType w:val="multilevel"/>
    <w:tmpl w:val="7974B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1C26FB0"/>
    <w:multiLevelType w:val="multilevel"/>
    <w:tmpl w:val="F0B01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5B61B98"/>
    <w:multiLevelType w:val="multilevel"/>
    <w:tmpl w:val="919A3626"/>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24">
    <w:nsid w:val="76E04B70"/>
    <w:multiLevelType w:val="multilevel"/>
    <w:tmpl w:val="AE0EC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E027546"/>
    <w:multiLevelType w:val="multilevel"/>
    <w:tmpl w:val="88768088"/>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num w:numId="1">
    <w:abstractNumId w:val="22"/>
  </w:num>
  <w:num w:numId="2">
    <w:abstractNumId w:val="16"/>
  </w:num>
  <w:num w:numId="3">
    <w:abstractNumId w:val="23"/>
  </w:num>
  <w:num w:numId="4">
    <w:abstractNumId w:val="17"/>
  </w:num>
  <w:num w:numId="5">
    <w:abstractNumId w:val="25"/>
  </w:num>
  <w:num w:numId="6">
    <w:abstractNumId w:val="10"/>
  </w:num>
  <w:num w:numId="7">
    <w:abstractNumId w:val="8"/>
  </w:num>
  <w:num w:numId="8">
    <w:abstractNumId w:val="18"/>
  </w:num>
  <w:num w:numId="9">
    <w:abstractNumId w:val="5"/>
  </w:num>
  <w:num w:numId="10">
    <w:abstractNumId w:val="21"/>
  </w:num>
  <w:num w:numId="11">
    <w:abstractNumId w:val="6"/>
  </w:num>
  <w:num w:numId="12">
    <w:abstractNumId w:val="12"/>
  </w:num>
  <w:num w:numId="13">
    <w:abstractNumId w:val="0"/>
  </w:num>
  <w:num w:numId="14">
    <w:abstractNumId w:val="13"/>
  </w:num>
  <w:num w:numId="15">
    <w:abstractNumId w:val="2"/>
  </w:num>
  <w:num w:numId="16">
    <w:abstractNumId w:val="7"/>
  </w:num>
  <w:num w:numId="17">
    <w:abstractNumId w:val="9"/>
  </w:num>
  <w:num w:numId="18">
    <w:abstractNumId w:val="3"/>
  </w:num>
  <w:num w:numId="19">
    <w:abstractNumId w:val="4"/>
  </w:num>
  <w:num w:numId="20">
    <w:abstractNumId w:val="11"/>
  </w:num>
  <w:num w:numId="21">
    <w:abstractNumId w:val="15"/>
  </w:num>
  <w:num w:numId="22">
    <w:abstractNumId w:val="19"/>
  </w:num>
  <w:num w:numId="23">
    <w:abstractNumId w:val="24"/>
  </w:num>
  <w:num w:numId="24">
    <w:abstractNumId w:val="14"/>
  </w:num>
  <w:num w:numId="25">
    <w:abstractNumId w:val="2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959B7"/>
    <w:rsid w:val="003959B7"/>
    <w:rsid w:val="003A6F7B"/>
    <w:rsid w:val="00834C81"/>
    <w:rsid w:val="00A43138"/>
    <w:rsid w:val="00AF6C9D"/>
    <w:rsid w:val="00C5473B"/>
    <w:rsid w:val="00D019D8"/>
    <w:rsid w:val="00EA31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8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A6F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F7B"/>
    <w:rPr>
      <w:rFonts w:ascii="Lucida Grande" w:hAnsi="Lucida Grande" w:cs="Lucida Grande"/>
      <w:sz w:val="18"/>
      <w:szCs w:val="18"/>
    </w:rPr>
  </w:style>
  <w:style w:type="paragraph" w:styleId="Header">
    <w:name w:val="header"/>
    <w:basedOn w:val="Normal"/>
    <w:link w:val="HeaderChar"/>
    <w:uiPriority w:val="99"/>
    <w:unhideWhenUsed/>
    <w:rsid w:val="00834C81"/>
    <w:pPr>
      <w:tabs>
        <w:tab w:val="center" w:pos="4320"/>
        <w:tab w:val="right" w:pos="8640"/>
      </w:tabs>
    </w:pPr>
  </w:style>
  <w:style w:type="character" w:customStyle="1" w:styleId="HeaderChar">
    <w:name w:val="Header Char"/>
    <w:basedOn w:val="DefaultParagraphFont"/>
    <w:link w:val="Header"/>
    <w:uiPriority w:val="99"/>
    <w:rsid w:val="00834C81"/>
  </w:style>
  <w:style w:type="paragraph" w:styleId="Footer">
    <w:name w:val="footer"/>
    <w:basedOn w:val="Normal"/>
    <w:link w:val="FooterChar"/>
    <w:uiPriority w:val="99"/>
    <w:unhideWhenUsed/>
    <w:rsid w:val="00834C81"/>
    <w:pPr>
      <w:tabs>
        <w:tab w:val="center" w:pos="4320"/>
        <w:tab w:val="right" w:pos="8640"/>
      </w:tabs>
    </w:pPr>
  </w:style>
  <w:style w:type="character" w:customStyle="1" w:styleId="FooterChar">
    <w:name w:val="Footer Char"/>
    <w:basedOn w:val="DefaultParagraphFont"/>
    <w:link w:val="Footer"/>
    <w:uiPriority w:val="99"/>
    <w:rsid w:val="00834C81"/>
  </w:style>
  <w:style w:type="character" w:styleId="PageNumber">
    <w:name w:val="page number"/>
    <w:basedOn w:val="DefaultParagraphFont"/>
    <w:uiPriority w:val="99"/>
    <w:semiHidden/>
    <w:unhideWhenUsed/>
    <w:rsid w:val="00834C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A6F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F7B"/>
    <w:rPr>
      <w:rFonts w:ascii="Lucida Grande" w:hAnsi="Lucida Grande" w:cs="Lucida Grande"/>
      <w:sz w:val="18"/>
      <w:szCs w:val="18"/>
    </w:rPr>
  </w:style>
  <w:style w:type="paragraph" w:styleId="Header">
    <w:name w:val="header"/>
    <w:basedOn w:val="Normal"/>
    <w:link w:val="HeaderChar"/>
    <w:uiPriority w:val="99"/>
    <w:unhideWhenUsed/>
    <w:rsid w:val="00834C81"/>
    <w:pPr>
      <w:tabs>
        <w:tab w:val="center" w:pos="4320"/>
        <w:tab w:val="right" w:pos="8640"/>
      </w:tabs>
    </w:pPr>
  </w:style>
  <w:style w:type="character" w:customStyle="1" w:styleId="HeaderChar">
    <w:name w:val="Header Char"/>
    <w:basedOn w:val="DefaultParagraphFont"/>
    <w:link w:val="Header"/>
    <w:uiPriority w:val="99"/>
    <w:rsid w:val="00834C81"/>
  </w:style>
  <w:style w:type="paragraph" w:styleId="Footer">
    <w:name w:val="footer"/>
    <w:basedOn w:val="Normal"/>
    <w:link w:val="FooterChar"/>
    <w:uiPriority w:val="99"/>
    <w:unhideWhenUsed/>
    <w:rsid w:val="00834C81"/>
    <w:pPr>
      <w:tabs>
        <w:tab w:val="center" w:pos="4320"/>
        <w:tab w:val="right" w:pos="8640"/>
      </w:tabs>
    </w:pPr>
  </w:style>
  <w:style w:type="character" w:customStyle="1" w:styleId="FooterChar">
    <w:name w:val="Footer Char"/>
    <w:basedOn w:val="DefaultParagraphFont"/>
    <w:link w:val="Footer"/>
    <w:uiPriority w:val="99"/>
    <w:rsid w:val="00834C81"/>
  </w:style>
  <w:style w:type="character" w:styleId="PageNumber">
    <w:name w:val="page number"/>
    <w:basedOn w:val="DefaultParagraphFont"/>
    <w:uiPriority w:val="99"/>
    <w:semiHidden/>
    <w:unhideWhenUsed/>
    <w:rsid w:val="00834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header" Target="head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4970</Words>
  <Characters>28335</Characters>
  <Application>Microsoft Macintosh Word</Application>
  <DocSecurity>0</DocSecurity>
  <Lines>236</Lines>
  <Paragraphs>66</Paragraphs>
  <ScaleCrop>false</ScaleCrop>
  <Company/>
  <LinksUpToDate>false</LinksUpToDate>
  <CharactersWithSpaces>33239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2018-11-19T16:59:00Z</cp:lastPrinted>
  <dcterms:created xsi:type="dcterms:W3CDTF">2018-11-19T16:59:00Z</dcterms:created>
  <dcterms:modified xsi:type="dcterms:W3CDTF">2018-11-19T16:59:00Z</dcterms:modified>
</cp:coreProperties>
</file>