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6BFD5" w14:textId="77777777" w:rsidR="004D3B6D" w:rsidRDefault="003F4555">
      <w:pPr>
        <w:pStyle w:val="normal0"/>
        <w:spacing w:before="147"/>
        <w:ind w:left="180" w:hanging="180"/>
        <w:rPr>
          <w:rFonts w:ascii="Muli" w:eastAsia="Muli" w:hAnsi="Muli" w:cs="Muli"/>
          <w:b/>
          <w:color w:val="FF126D"/>
          <w:sz w:val="28"/>
          <w:szCs w:val="28"/>
        </w:rPr>
      </w:pPr>
      <w:r>
        <w:rPr>
          <w:rFonts w:ascii="Muli" w:eastAsia="Muli" w:hAnsi="Muli" w:cs="Muli"/>
          <w:b/>
          <w:color w:val="FF126D"/>
          <w:sz w:val="28"/>
          <w:szCs w:val="28"/>
        </w:rPr>
        <w:t>Designed for NGSS: Student Work Rubric</w:t>
      </w:r>
    </w:p>
    <w:p w14:paraId="26AA36E8" w14:textId="77777777" w:rsidR="004D3B6D" w:rsidRDefault="003F4555">
      <w:pPr>
        <w:pStyle w:val="normal0"/>
        <w:spacing w:before="147"/>
        <w:ind w:left="180" w:hanging="180"/>
        <w:rPr>
          <w:rFonts w:ascii="Muli" w:eastAsia="Muli" w:hAnsi="Muli" w:cs="Muli"/>
          <w:b/>
          <w:sz w:val="20"/>
          <w:szCs w:val="20"/>
        </w:rPr>
      </w:pPr>
      <w:r>
        <w:rPr>
          <w:rFonts w:ascii="Muli" w:eastAsia="Muli" w:hAnsi="Muli" w:cs="Muli"/>
          <w:b/>
          <w:sz w:val="20"/>
          <w:szCs w:val="20"/>
        </w:rPr>
        <w:t>Analyze Evidence</w:t>
      </w:r>
    </w:p>
    <w:p w14:paraId="6B0924AA" w14:textId="77777777" w:rsidR="004D3B6D" w:rsidRDefault="003F4555">
      <w:pPr>
        <w:pStyle w:val="normal0"/>
        <w:spacing w:before="147"/>
        <w:ind w:left="180" w:hanging="180"/>
        <w:rPr>
          <w:rFonts w:ascii="Muli" w:eastAsia="Muli" w:hAnsi="Muli" w:cs="Muli"/>
          <w:b/>
          <w:color w:val="15A798"/>
          <w:sz w:val="28"/>
          <w:szCs w:val="28"/>
        </w:rPr>
      </w:pPr>
      <w:r>
        <w:rPr>
          <w:rFonts w:ascii="Muli" w:eastAsia="Muli" w:hAnsi="Muli" w:cs="Muli"/>
          <w:b/>
          <w:sz w:val="20"/>
          <w:szCs w:val="20"/>
        </w:rPr>
        <w:t>Directions:</w:t>
      </w:r>
    </w:p>
    <w:p w14:paraId="58D08B69" w14:textId="77777777" w:rsidR="004D3B6D" w:rsidRDefault="003F4555">
      <w:pPr>
        <w:pStyle w:val="normal0"/>
        <w:numPr>
          <w:ilvl w:val="0"/>
          <w:numId w:val="13"/>
        </w:numPr>
        <w:tabs>
          <w:tab w:val="left" w:pos="720"/>
        </w:tabs>
        <w:ind w:left="540" w:hanging="90"/>
        <w:rPr>
          <w:rFonts w:ascii="Muli" w:eastAsia="Muli" w:hAnsi="Muli" w:cs="Muli"/>
        </w:rPr>
      </w:pPr>
      <w:r>
        <w:rPr>
          <w:rFonts w:ascii="Muli" w:eastAsia="Muli" w:hAnsi="Muli" w:cs="Muli"/>
        </w:rPr>
        <w:t>Review your assigned materials to describe the path of student thinking.</w:t>
      </w:r>
    </w:p>
    <w:p w14:paraId="53812C83" w14:textId="77777777" w:rsidR="004D3B6D" w:rsidRDefault="003F4555">
      <w:pPr>
        <w:pStyle w:val="normal0"/>
        <w:numPr>
          <w:ilvl w:val="0"/>
          <w:numId w:val="13"/>
        </w:numPr>
        <w:tabs>
          <w:tab w:val="left" w:pos="720"/>
        </w:tabs>
        <w:ind w:left="540" w:hanging="90"/>
        <w:rPr>
          <w:rFonts w:ascii="Muli" w:eastAsia="Muli" w:hAnsi="Muli" w:cs="Muli"/>
        </w:rPr>
      </w:pPr>
      <w:r>
        <w:rPr>
          <w:rFonts w:ascii="Muli" w:eastAsia="Muli" w:hAnsi="Muli" w:cs="Muli"/>
        </w:rPr>
        <w:t>Represent your answers to the questions in the space provided.</w:t>
      </w:r>
    </w:p>
    <w:p w14:paraId="1D95709D" w14:textId="77777777" w:rsidR="004D3B6D" w:rsidRDefault="003F4555">
      <w:pPr>
        <w:pStyle w:val="normal0"/>
        <w:numPr>
          <w:ilvl w:val="0"/>
          <w:numId w:val="13"/>
        </w:numPr>
        <w:tabs>
          <w:tab w:val="left" w:pos="720"/>
        </w:tabs>
        <w:ind w:left="540" w:hanging="90"/>
        <w:rPr>
          <w:rFonts w:ascii="Muli" w:eastAsia="Muli" w:hAnsi="Muli" w:cs="Muli"/>
        </w:rPr>
      </w:pPr>
      <w:r>
        <w:rPr>
          <w:rFonts w:ascii="Muli" w:eastAsia="Muli" w:hAnsi="Muli" w:cs="Muli"/>
        </w:rPr>
        <w:t>Be prepared to share the path of student thinking visually on a public chart.</w:t>
      </w:r>
    </w:p>
    <w:p w14:paraId="090DF468" w14:textId="77777777" w:rsidR="004D3B6D" w:rsidRDefault="004D3B6D">
      <w:pPr>
        <w:pStyle w:val="normal0"/>
        <w:pBdr>
          <w:top w:val="nil"/>
          <w:left w:val="nil"/>
          <w:bottom w:val="nil"/>
          <w:right w:val="nil"/>
          <w:between w:val="nil"/>
        </w:pBdr>
        <w:spacing w:before="9" w:after="1"/>
        <w:rPr>
          <w:color w:val="000000"/>
          <w:sz w:val="19"/>
          <w:szCs w:val="19"/>
        </w:rPr>
      </w:pPr>
    </w:p>
    <w:tbl>
      <w:tblPr>
        <w:tblStyle w:val="a"/>
        <w:tblW w:w="146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45"/>
        <w:gridCol w:w="4425"/>
      </w:tblGrid>
      <w:tr w:rsidR="004D3B6D" w14:paraId="1AEFFE4D" w14:textId="77777777">
        <w:trPr>
          <w:trHeight w:val="340"/>
        </w:trPr>
        <w:tc>
          <w:tcPr>
            <w:tcW w:w="14670" w:type="dxa"/>
            <w:gridSpan w:val="2"/>
            <w:shd w:val="clear" w:color="auto" w:fill="FF126D"/>
          </w:tcPr>
          <w:p w14:paraId="7765E430" w14:textId="77777777" w:rsidR="004D3B6D" w:rsidRDefault="003F4555">
            <w:pPr>
              <w:pStyle w:val="normal0"/>
              <w:ind w:left="180" w:right="-120"/>
              <w:rPr>
                <w:sz w:val="20"/>
                <w:szCs w:val="20"/>
              </w:rPr>
            </w:pPr>
            <w:r>
              <w:rPr>
                <w:rFonts w:ascii="Muli" w:eastAsia="Muli" w:hAnsi="Muli" w:cs="Muli"/>
                <w:b/>
                <w:color w:val="FFFFFF"/>
                <w:sz w:val="20"/>
                <w:szCs w:val="20"/>
              </w:rPr>
              <w:t>Answer (in words, graphics, or both)</w:t>
            </w:r>
          </w:p>
        </w:tc>
      </w:tr>
      <w:tr w:rsidR="004D3B6D" w14:paraId="7672CD8C" w14:textId="77777777">
        <w:trPr>
          <w:trHeight w:val="5540"/>
        </w:trPr>
        <w:tc>
          <w:tcPr>
            <w:tcW w:w="14670" w:type="dxa"/>
            <w:gridSpan w:val="2"/>
            <w:tcMar>
              <w:top w:w="99" w:type="dxa"/>
              <w:left w:w="99" w:type="dxa"/>
              <w:bottom w:w="99" w:type="dxa"/>
              <w:right w:w="99" w:type="dxa"/>
            </w:tcMar>
          </w:tcPr>
          <w:p w14:paraId="03FB8301" w14:textId="77777777" w:rsidR="004D3B6D" w:rsidRDefault="003F4555">
            <w:pPr>
              <w:pStyle w:val="normal0"/>
              <w:spacing w:before="121" w:line="276" w:lineRule="auto"/>
              <w:ind w:right="383"/>
              <w:rPr>
                <w:rFonts w:ascii="Muli" w:eastAsia="Muli" w:hAnsi="Muli" w:cs="Muli"/>
                <w:sz w:val="20"/>
                <w:szCs w:val="20"/>
              </w:rPr>
            </w:pPr>
            <w:r>
              <w:rPr>
                <w:rFonts w:ascii="Muli" w:eastAsia="Muli" w:hAnsi="Muli" w:cs="Muli"/>
                <w:sz w:val="20"/>
                <w:szCs w:val="20"/>
              </w:rPr>
              <w:t>Answer the following questions as you describe the path of student thinking in the materials. Consider what you would expect students to be thinking about through the learning experiences.</w:t>
            </w:r>
          </w:p>
          <w:p w14:paraId="62DD6539" w14:textId="77777777" w:rsidR="004D3B6D" w:rsidRDefault="003F4555">
            <w:pPr>
              <w:pStyle w:val="normal0"/>
              <w:spacing w:before="121"/>
              <w:rPr>
                <w:rFonts w:ascii="Muli" w:eastAsia="Muli" w:hAnsi="Muli" w:cs="Muli"/>
                <w:sz w:val="20"/>
                <w:szCs w:val="20"/>
              </w:rPr>
            </w:pPr>
            <w:r>
              <w:rPr>
                <w:rFonts w:ascii="Muli" w:eastAsia="Muli" w:hAnsi="Muli" w:cs="Muli"/>
                <w:sz w:val="20"/>
                <w:szCs w:val="20"/>
              </w:rPr>
              <w:t>What are students figuring out/solving?</w:t>
            </w:r>
          </w:p>
          <w:p w14:paraId="62812DD2" w14:textId="77777777" w:rsidR="004D3B6D" w:rsidRDefault="003F4555">
            <w:pPr>
              <w:pStyle w:val="normal0"/>
              <w:numPr>
                <w:ilvl w:val="0"/>
                <w:numId w:val="10"/>
              </w:numPr>
              <w:tabs>
                <w:tab w:val="left" w:pos="474"/>
                <w:tab w:val="left" w:pos="475"/>
              </w:tabs>
              <w:spacing w:before="156" w:line="276" w:lineRule="auto"/>
              <w:ind w:right="521"/>
              <w:rPr>
                <w:rFonts w:ascii="Muli" w:eastAsia="Muli" w:hAnsi="Muli" w:cs="Muli"/>
                <w:sz w:val="20"/>
                <w:szCs w:val="20"/>
              </w:rPr>
            </w:pPr>
            <w:r>
              <w:rPr>
                <w:rFonts w:ascii="Muli" w:eastAsia="Muli" w:hAnsi="Muli" w:cs="Muli"/>
                <w:sz w:val="20"/>
                <w:szCs w:val="20"/>
              </w:rPr>
              <w:t>What is driving student lea</w:t>
            </w:r>
            <w:r>
              <w:rPr>
                <w:rFonts w:ascii="Muli" w:eastAsia="Muli" w:hAnsi="Muli" w:cs="Muli"/>
                <w:sz w:val="20"/>
                <w:szCs w:val="20"/>
              </w:rPr>
              <w:t>rning (e.g., question, scenario, problem, phenomenon, etc.)?</w:t>
            </w:r>
          </w:p>
          <w:p w14:paraId="10C7C3A2" w14:textId="77777777" w:rsidR="004D3B6D" w:rsidRDefault="003F4555">
            <w:pPr>
              <w:pStyle w:val="normal0"/>
              <w:numPr>
                <w:ilvl w:val="0"/>
                <w:numId w:val="10"/>
              </w:numPr>
              <w:tabs>
                <w:tab w:val="left" w:pos="474"/>
                <w:tab w:val="left" w:pos="475"/>
              </w:tabs>
              <w:spacing w:before="120" w:line="276" w:lineRule="auto"/>
              <w:ind w:right="515"/>
              <w:rPr>
                <w:rFonts w:ascii="Muli" w:eastAsia="Muli" w:hAnsi="Muli" w:cs="Muli"/>
                <w:sz w:val="20"/>
                <w:szCs w:val="20"/>
              </w:rPr>
            </w:pPr>
            <w:r>
              <w:rPr>
                <w:rFonts w:ascii="Muli" w:eastAsia="Muli" w:hAnsi="Muli" w:cs="Muli"/>
                <w:sz w:val="20"/>
                <w:szCs w:val="20"/>
              </w:rPr>
              <w:t>What ideas and practices do students develop through these experiences?</w:t>
            </w:r>
          </w:p>
          <w:p w14:paraId="5AA8D85F" w14:textId="77777777" w:rsidR="004D3B6D" w:rsidRDefault="003F4555">
            <w:pPr>
              <w:pStyle w:val="normal0"/>
              <w:numPr>
                <w:ilvl w:val="0"/>
                <w:numId w:val="10"/>
              </w:numPr>
              <w:tabs>
                <w:tab w:val="left" w:pos="474"/>
                <w:tab w:val="left" w:pos="475"/>
              </w:tabs>
              <w:spacing w:before="121" w:line="276" w:lineRule="auto"/>
              <w:ind w:right="165"/>
              <w:rPr>
                <w:rFonts w:ascii="Muli" w:eastAsia="Muli" w:hAnsi="Muli" w:cs="Muli"/>
                <w:sz w:val="20"/>
                <w:szCs w:val="20"/>
              </w:rPr>
            </w:pPr>
            <w:r>
              <w:rPr>
                <w:rFonts w:ascii="Muli" w:eastAsia="Muli" w:hAnsi="Muli" w:cs="Muli"/>
                <w:sz w:val="20"/>
                <w:szCs w:val="20"/>
              </w:rPr>
              <w:t>How do students access, engage, and use prior knowledge to further their thinking?</w:t>
            </w:r>
          </w:p>
          <w:p w14:paraId="1A818909" w14:textId="77777777" w:rsidR="004D3B6D" w:rsidRDefault="003F4555">
            <w:pPr>
              <w:pStyle w:val="normal0"/>
              <w:numPr>
                <w:ilvl w:val="0"/>
                <w:numId w:val="10"/>
              </w:numPr>
              <w:tabs>
                <w:tab w:val="left" w:pos="474"/>
                <w:tab w:val="left" w:pos="475"/>
              </w:tabs>
              <w:spacing w:before="120" w:line="276" w:lineRule="auto"/>
              <w:ind w:right="284"/>
              <w:rPr>
                <w:rFonts w:ascii="Muli" w:eastAsia="Muli" w:hAnsi="Muli" w:cs="Muli"/>
                <w:sz w:val="20"/>
                <w:szCs w:val="20"/>
              </w:rPr>
            </w:pPr>
            <w:r>
              <w:rPr>
                <w:rFonts w:ascii="Muli" w:eastAsia="Muli" w:hAnsi="Muli" w:cs="Muli"/>
                <w:sz w:val="20"/>
                <w:szCs w:val="20"/>
              </w:rPr>
              <w:t>How do students develop metacognitive abilities?</w:t>
            </w:r>
          </w:p>
        </w:tc>
      </w:tr>
      <w:tr w:rsidR="004D3B6D" w14:paraId="7609C0B7" w14:textId="77777777">
        <w:trPr>
          <w:trHeight w:val="840"/>
        </w:trPr>
        <w:tc>
          <w:tcPr>
            <w:tcW w:w="14670" w:type="dxa"/>
            <w:gridSpan w:val="2"/>
            <w:shd w:val="clear" w:color="auto" w:fill="D9D9D9"/>
            <w:tcMar>
              <w:top w:w="99" w:type="dxa"/>
              <w:left w:w="99" w:type="dxa"/>
              <w:bottom w:w="99" w:type="dxa"/>
              <w:right w:w="99" w:type="dxa"/>
            </w:tcMar>
          </w:tcPr>
          <w:p w14:paraId="2D44654D" w14:textId="77777777" w:rsidR="004D3B6D" w:rsidRDefault="003F4555">
            <w:pPr>
              <w:pStyle w:val="normal0"/>
              <w:ind w:right="105"/>
              <w:rPr>
                <w:rFonts w:ascii="Muli" w:eastAsia="Muli" w:hAnsi="Muli" w:cs="Muli"/>
                <w:b/>
                <w:color w:val="2F5496"/>
                <w:sz w:val="20"/>
                <w:szCs w:val="20"/>
              </w:rPr>
            </w:pPr>
            <w:r>
              <w:rPr>
                <w:rFonts w:ascii="Muli" w:eastAsia="Muli" w:hAnsi="Muli" w:cs="Muli"/>
                <w:b/>
                <w:color w:val="2F5496"/>
                <w:sz w:val="20"/>
                <w:szCs w:val="20"/>
              </w:rPr>
              <w:lastRenderedPageBreak/>
              <w:t>SW1. Phenomena/Problems.</w:t>
            </w:r>
          </w:p>
          <w:p w14:paraId="33EF151D" w14:textId="77777777" w:rsidR="004D3B6D" w:rsidRDefault="003F4555">
            <w:pPr>
              <w:pStyle w:val="normal0"/>
              <w:rPr>
                <w:rFonts w:ascii="Muli" w:eastAsia="Muli" w:hAnsi="Muli" w:cs="Muli"/>
                <w:sz w:val="20"/>
                <w:szCs w:val="20"/>
              </w:rPr>
            </w:pPr>
            <w:r>
              <w:rPr>
                <w:rFonts w:ascii="Muli" w:eastAsia="Muli" w:hAnsi="Muli" w:cs="Muli"/>
                <w:sz w:val="20"/>
                <w:szCs w:val="20"/>
              </w:rPr>
              <w:t>Student learning is driven by figuring out a solution to the Module Phenomenon: What happens when we push, pull, and drop objects? How can we change their speed and direction?</w:t>
            </w:r>
          </w:p>
        </w:tc>
      </w:tr>
      <w:tr w:rsidR="004D3B6D" w14:paraId="348E5B13" w14:textId="77777777">
        <w:trPr>
          <w:trHeight w:val="6760"/>
        </w:trPr>
        <w:tc>
          <w:tcPr>
            <w:tcW w:w="10245" w:type="dxa"/>
            <w:tcMar>
              <w:top w:w="99" w:type="dxa"/>
              <w:left w:w="99" w:type="dxa"/>
              <w:bottom w:w="99" w:type="dxa"/>
              <w:right w:w="99" w:type="dxa"/>
            </w:tcMar>
          </w:tcPr>
          <w:p w14:paraId="6F331BBF" w14:textId="77777777" w:rsidR="004D3B6D" w:rsidRDefault="003F4555">
            <w:pPr>
              <w:pStyle w:val="normal0"/>
              <w:rPr>
                <w:rFonts w:ascii="Muli" w:eastAsia="Muli" w:hAnsi="Muli" w:cs="Muli"/>
                <w:sz w:val="20"/>
                <w:szCs w:val="20"/>
              </w:rPr>
            </w:pPr>
            <w:r>
              <w:rPr>
                <w:rFonts w:ascii="Muli" w:eastAsia="Muli" w:hAnsi="Muli" w:cs="Muli"/>
                <w:sz w:val="20"/>
                <w:szCs w:val="20"/>
              </w:rPr>
              <w:t>In order to solve the problem, students work through a series of Driving Questions (DQs) that require them to make sense of a subset of smaller phenomena/problems</w:t>
            </w:r>
            <w:r>
              <w:rPr>
                <w:rFonts w:ascii="Muli" w:eastAsia="Muli" w:hAnsi="Muli" w:cs="Muli"/>
                <w:color w:val="0000FF"/>
                <w:sz w:val="20"/>
                <w:szCs w:val="20"/>
              </w:rPr>
              <w:t xml:space="preserve"> </w:t>
            </w:r>
            <w:r>
              <w:rPr>
                <w:rFonts w:ascii="Muli" w:eastAsia="Muli" w:hAnsi="Muli" w:cs="Muli"/>
                <w:sz w:val="20"/>
                <w:szCs w:val="20"/>
              </w:rPr>
              <w:t>and then connect what they now know to the central phenomenon.  The skills and knowledge gain</w:t>
            </w:r>
            <w:r>
              <w:rPr>
                <w:rFonts w:ascii="Muli" w:eastAsia="Muli" w:hAnsi="Muli" w:cs="Muli"/>
                <w:sz w:val="20"/>
                <w:szCs w:val="20"/>
              </w:rPr>
              <w:t>ed over these investigations culminate in an Engineering Design Challenge in which students utilize and demonstrate their understanding of the Module Phenomenon.</w:t>
            </w:r>
          </w:p>
          <w:p w14:paraId="16BC648D" w14:textId="77777777" w:rsidR="004D3B6D" w:rsidRDefault="004D3B6D">
            <w:pPr>
              <w:pStyle w:val="normal0"/>
              <w:rPr>
                <w:rFonts w:ascii="Muli" w:eastAsia="Muli" w:hAnsi="Muli" w:cs="Muli"/>
                <w:sz w:val="20"/>
                <w:szCs w:val="20"/>
              </w:rPr>
            </w:pPr>
          </w:p>
          <w:p w14:paraId="546A39EE" w14:textId="77777777" w:rsidR="004D3B6D" w:rsidRDefault="003F4555">
            <w:pPr>
              <w:pStyle w:val="normal0"/>
              <w:numPr>
                <w:ilvl w:val="0"/>
                <w:numId w:val="5"/>
              </w:numPr>
              <w:rPr>
                <w:rFonts w:ascii="Muli" w:eastAsia="Muli" w:hAnsi="Muli" w:cs="Muli"/>
                <w:b/>
                <w:sz w:val="20"/>
                <w:szCs w:val="20"/>
              </w:rPr>
            </w:pPr>
            <w:r>
              <w:rPr>
                <w:rFonts w:ascii="Muli" w:eastAsia="Muli" w:hAnsi="Muli" w:cs="Muli"/>
                <w:sz w:val="20"/>
                <w:szCs w:val="20"/>
              </w:rPr>
              <w:t>DQ1: How can we make an object move faster or move in a different direction?</w:t>
            </w:r>
          </w:p>
          <w:p w14:paraId="0A3D4EF5" w14:textId="77777777" w:rsidR="004D3B6D" w:rsidRDefault="003F4555">
            <w:pPr>
              <w:pStyle w:val="normal0"/>
              <w:numPr>
                <w:ilvl w:val="0"/>
                <w:numId w:val="5"/>
              </w:numPr>
              <w:rPr>
                <w:rFonts w:ascii="Muli" w:eastAsia="Muli" w:hAnsi="Muli" w:cs="Muli"/>
                <w:b/>
                <w:sz w:val="20"/>
                <w:szCs w:val="20"/>
              </w:rPr>
            </w:pPr>
            <w:r>
              <w:rPr>
                <w:rFonts w:ascii="Muli" w:eastAsia="Muli" w:hAnsi="Muli" w:cs="Muli"/>
                <w:sz w:val="20"/>
                <w:szCs w:val="20"/>
              </w:rPr>
              <w:t xml:space="preserve">DQ2: How can we </w:t>
            </w:r>
            <w:r>
              <w:rPr>
                <w:rFonts w:ascii="Muli" w:eastAsia="Muli" w:hAnsi="Muli" w:cs="Muli"/>
                <w:sz w:val="20"/>
                <w:szCs w:val="20"/>
              </w:rPr>
              <w:t>get marbles where we want them?</w:t>
            </w:r>
          </w:p>
          <w:p w14:paraId="6D0ACB44" w14:textId="77777777" w:rsidR="004D3B6D" w:rsidRDefault="003F4555">
            <w:pPr>
              <w:pStyle w:val="normal0"/>
              <w:numPr>
                <w:ilvl w:val="0"/>
                <w:numId w:val="5"/>
              </w:numPr>
              <w:rPr>
                <w:rFonts w:ascii="Muli" w:eastAsia="Muli" w:hAnsi="Muli" w:cs="Muli"/>
                <w:b/>
                <w:sz w:val="20"/>
                <w:szCs w:val="20"/>
              </w:rPr>
            </w:pPr>
            <w:r>
              <w:rPr>
                <w:rFonts w:ascii="Muli" w:eastAsia="Muli" w:hAnsi="Muli" w:cs="Muli"/>
                <w:sz w:val="20"/>
                <w:szCs w:val="20"/>
              </w:rPr>
              <w:t>DQ3: How do we understand and design a marble run?</w:t>
            </w:r>
          </w:p>
          <w:p w14:paraId="5224EDBB" w14:textId="77777777" w:rsidR="004D3B6D" w:rsidRDefault="004D3B6D">
            <w:pPr>
              <w:pStyle w:val="normal0"/>
              <w:rPr>
                <w:rFonts w:ascii="Muli" w:eastAsia="Muli" w:hAnsi="Muli" w:cs="Muli"/>
                <w:sz w:val="18"/>
                <w:szCs w:val="18"/>
              </w:rPr>
            </w:pPr>
          </w:p>
          <w:p w14:paraId="6DC10CDA" w14:textId="77777777" w:rsidR="004D3B6D" w:rsidRDefault="003F4555">
            <w:pPr>
              <w:pStyle w:val="normal0"/>
              <w:rPr>
                <w:rFonts w:ascii="Muli" w:eastAsia="Muli" w:hAnsi="Muli" w:cs="Muli"/>
                <w:sz w:val="20"/>
                <w:szCs w:val="20"/>
              </w:rPr>
            </w:pPr>
            <w:r>
              <w:rPr>
                <w:rFonts w:ascii="Muli" w:eastAsia="Muli" w:hAnsi="Muli" w:cs="Muli"/>
                <w:sz w:val="20"/>
                <w:szCs w:val="20"/>
              </w:rPr>
              <w:t>Interwoven with this science narrative is a storyline that requires students to take on the role of engineers and design their own marble runs. They are introduced to the storyline through a movie-style module Trailer video.</w:t>
            </w:r>
          </w:p>
          <w:p w14:paraId="2216F2F2" w14:textId="77777777" w:rsidR="004D3B6D" w:rsidRDefault="004D3B6D">
            <w:pPr>
              <w:pStyle w:val="normal0"/>
              <w:rPr>
                <w:rFonts w:ascii="Muli" w:eastAsia="Muli" w:hAnsi="Muli" w:cs="Muli"/>
                <w:sz w:val="20"/>
                <w:szCs w:val="20"/>
              </w:rPr>
            </w:pPr>
          </w:p>
          <w:p w14:paraId="6572E92E" w14:textId="77777777" w:rsidR="004D3B6D" w:rsidRDefault="003F4555">
            <w:pPr>
              <w:pStyle w:val="normal0"/>
              <w:ind w:right="105"/>
              <w:rPr>
                <w:rFonts w:ascii="Muli" w:eastAsia="Muli" w:hAnsi="Muli" w:cs="Muli"/>
                <w:sz w:val="20"/>
                <w:szCs w:val="20"/>
              </w:rPr>
            </w:pPr>
            <w:r>
              <w:rPr>
                <w:rFonts w:ascii="Muli" w:eastAsia="Muli" w:hAnsi="Muli" w:cs="Muli"/>
                <w:sz w:val="20"/>
                <w:szCs w:val="20"/>
              </w:rPr>
              <w:t>The Module is complemented wit</w:t>
            </w:r>
            <w:r>
              <w:rPr>
                <w:rFonts w:ascii="Muli" w:eastAsia="Muli" w:hAnsi="Muli" w:cs="Muli"/>
                <w:sz w:val="20"/>
                <w:szCs w:val="20"/>
              </w:rPr>
              <w:t xml:space="preserve">h </w:t>
            </w:r>
            <w:r>
              <w:rPr>
                <w:rFonts w:ascii="Muli" w:eastAsia="Muli" w:hAnsi="Muli" w:cs="Muli"/>
                <w:b/>
                <w:i/>
                <w:color w:val="FF126D"/>
                <w:sz w:val="20"/>
                <w:szCs w:val="20"/>
              </w:rPr>
              <w:t>Pushes and Pulls</w:t>
            </w:r>
            <w:r>
              <w:rPr>
                <w:rFonts w:ascii="Muli" w:eastAsia="Muli" w:hAnsi="Muli" w:cs="Muli"/>
                <w:sz w:val="20"/>
                <w:szCs w:val="20"/>
              </w:rPr>
              <w:t>, a magazine-style leveled reader (available in four levels, plus Spanish) that provides additional exposure to relevant phenomena/problems as well as an interview with a scientist based at a university. Packed with stunning images, carto</w:t>
            </w:r>
            <w:r>
              <w:rPr>
                <w:rFonts w:ascii="Muli" w:eastAsia="Muli" w:hAnsi="Muli" w:cs="Muli"/>
                <w:sz w:val="20"/>
                <w:szCs w:val="20"/>
              </w:rPr>
              <w:t xml:space="preserve">ons, and jokes, it’s designed to appeal to students with a diverse range of learning abilities. </w:t>
            </w:r>
          </w:p>
        </w:tc>
        <w:tc>
          <w:tcPr>
            <w:tcW w:w="4425" w:type="dxa"/>
            <w:tcMar>
              <w:top w:w="99" w:type="dxa"/>
              <w:left w:w="99" w:type="dxa"/>
              <w:bottom w:w="99" w:type="dxa"/>
              <w:right w:w="99" w:type="dxa"/>
            </w:tcMar>
          </w:tcPr>
          <w:p w14:paraId="04687D8E" w14:textId="77777777" w:rsidR="004D3B6D" w:rsidRDefault="003F4555">
            <w:pPr>
              <w:pStyle w:val="normal0"/>
              <w:rPr>
                <w:rFonts w:ascii="Muli" w:eastAsia="Muli" w:hAnsi="Muli" w:cs="Muli"/>
                <w:sz w:val="20"/>
                <w:szCs w:val="20"/>
              </w:rPr>
            </w:pPr>
            <w:r>
              <w:rPr>
                <w:rFonts w:ascii="Muli" w:eastAsia="Muli" w:hAnsi="Muli" w:cs="Muli"/>
                <w:noProof/>
                <w:sz w:val="20"/>
                <w:szCs w:val="20"/>
              </w:rPr>
              <w:drawing>
                <wp:inline distT="114300" distB="114300" distL="114300" distR="114300" wp14:anchorId="3F1C60A0" wp14:editId="3EB3C247">
                  <wp:extent cx="2676525" cy="14478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676525" cy="1447800"/>
                          </a:xfrm>
                          <a:prstGeom prst="rect">
                            <a:avLst/>
                          </a:prstGeom>
                          <a:ln/>
                        </pic:spPr>
                      </pic:pic>
                    </a:graphicData>
                  </a:graphic>
                </wp:inline>
              </w:drawing>
            </w:r>
          </w:p>
          <w:p w14:paraId="37A55D05" w14:textId="77777777" w:rsidR="004D3B6D" w:rsidRDefault="003F4555">
            <w:pPr>
              <w:pStyle w:val="normal0"/>
              <w:rPr>
                <w:rFonts w:ascii="Muli" w:eastAsia="Muli" w:hAnsi="Muli" w:cs="Muli"/>
                <w:b/>
                <w:color w:val="FF126D"/>
                <w:sz w:val="20"/>
                <w:szCs w:val="20"/>
              </w:rPr>
            </w:pPr>
            <w:r>
              <w:rPr>
                <w:rFonts w:ascii="Muli" w:eastAsia="Muli" w:hAnsi="Muli" w:cs="Muli"/>
                <w:b/>
                <w:i/>
                <w:color w:val="FF126D"/>
                <w:sz w:val="20"/>
                <w:szCs w:val="20"/>
              </w:rPr>
              <w:t>Pushes and Pulls</w:t>
            </w:r>
            <w:r>
              <w:rPr>
                <w:rFonts w:ascii="Muli" w:eastAsia="Muli" w:hAnsi="Muli" w:cs="Muli"/>
                <w:b/>
                <w:color w:val="FF126D"/>
                <w:sz w:val="20"/>
                <w:szCs w:val="20"/>
              </w:rPr>
              <w:t xml:space="preserve"> Leveled Reader (Front Cover)</w:t>
            </w:r>
          </w:p>
          <w:p w14:paraId="5DEE57A4" w14:textId="77777777" w:rsidR="004D3B6D" w:rsidRDefault="004D3B6D">
            <w:pPr>
              <w:pStyle w:val="normal0"/>
              <w:rPr>
                <w:rFonts w:ascii="Muli" w:eastAsia="Muli" w:hAnsi="Muli" w:cs="Muli"/>
                <w:b/>
                <w:color w:val="FF126D"/>
                <w:sz w:val="20"/>
                <w:szCs w:val="20"/>
              </w:rPr>
            </w:pPr>
          </w:p>
          <w:p w14:paraId="1BA50BB7" w14:textId="77777777" w:rsidR="004D3B6D" w:rsidRDefault="003F4555">
            <w:pPr>
              <w:pStyle w:val="normal0"/>
              <w:rPr>
                <w:rFonts w:ascii="Muli" w:eastAsia="Muli" w:hAnsi="Muli" w:cs="Muli"/>
                <w:sz w:val="20"/>
                <w:szCs w:val="20"/>
              </w:rPr>
            </w:pPr>
            <w:r>
              <w:rPr>
                <w:rFonts w:ascii="Muli" w:eastAsia="Muli" w:hAnsi="Muli" w:cs="Muli"/>
                <w:noProof/>
                <w:sz w:val="20"/>
                <w:szCs w:val="20"/>
              </w:rPr>
              <w:drawing>
                <wp:inline distT="114300" distB="114300" distL="114300" distR="114300" wp14:anchorId="1130E3B4" wp14:editId="1B9C35ED">
                  <wp:extent cx="2676525" cy="2654300"/>
                  <wp:effectExtent l="0" t="0" r="0" b="0"/>
                  <wp:docPr id="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2676525" cy="2654300"/>
                          </a:xfrm>
                          <a:prstGeom prst="rect">
                            <a:avLst/>
                          </a:prstGeom>
                          <a:ln/>
                        </pic:spPr>
                      </pic:pic>
                    </a:graphicData>
                  </a:graphic>
                </wp:inline>
              </w:drawing>
            </w:r>
          </w:p>
          <w:p w14:paraId="25BF3CDB" w14:textId="77777777" w:rsidR="004D3B6D" w:rsidRDefault="003F4555">
            <w:pPr>
              <w:pStyle w:val="normal0"/>
              <w:ind w:right="105"/>
              <w:rPr>
                <w:rFonts w:ascii="Muli" w:eastAsia="Muli" w:hAnsi="Muli" w:cs="Muli"/>
                <w:sz w:val="20"/>
                <w:szCs w:val="20"/>
              </w:rPr>
            </w:pPr>
            <w:r>
              <w:rPr>
                <w:rFonts w:ascii="Muli" w:eastAsia="Muli" w:hAnsi="Muli" w:cs="Muli"/>
                <w:b/>
                <w:i/>
                <w:color w:val="FF126D"/>
                <w:sz w:val="20"/>
                <w:szCs w:val="20"/>
              </w:rPr>
              <w:t xml:space="preserve">Pushes and Pulls </w:t>
            </w:r>
            <w:r>
              <w:rPr>
                <w:rFonts w:ascii="Muli" w:eastAsia="Muli" w:hAnsi="Muli" w:cs="Muli"/>
                <w:b/>
                <w:color w:val="FF126D"/>
                <w:sz w:val="20"/>
                <w:szCs w:val="20"/>
              </w:rPr>
              <w:t>Leveled Reader p. 10</w:t>
            </w:r>
          </w:p>
        </w:tc>
      </w:tr>
      <w:tr w:rsidR="004D3B6D" w14:paraId="16F8EC33" w14:textId="77777777">
        <w:trPr>
          <w:trHeight w:val="3640"/>
        </w:trPr>
        <w:tc>
          <w:tcPr>
            <w:tcW w:w="10245" w:type="dxa"/>
            <w:tcMar>
              <w:top w:w="99" w:type="dxa"/>
              <w:left w:w="99" w:type="dxa"/>
              <w:bottom w:w="99" w:type="dxa"/>
              <w:right w:w="99" w:type="dxa"/>
            </w:tcMar>
          </w:tcPr>
          <w:p w14:paraId="5448C69C" w14:textId="77777777" w:rsidR="004D3B6D" w:rsidRDefault="003F4555">
            <w:pPr>
              <w:pStyle w:val="normal0"/>
              <w:rPr>
                <w:rFonts w:ascii="Muli" w:eastAsia="Muli" w:hAnsi="Muli" w:cs="Muli"/>
                <w:b/>
                <w:color w:val="FF126D"/>
                <w:sz w:val="20"/>
                <w:szCs w:val="20"/>
              </w:rPr>
            </w:pPr>
            <w:r>
              <w:rPr>
                <w:rFonts w:ascii="Muli" w:eastAsia="Muli" w:hAnsi="Muli" w:cs="Muli"/>
                <w:b/>
                <w:color w:val="FF126D"/>
                <w:sz w:val="20"/>
                <w:szCs w:val="20"/>
              </w:rPr>
              <w:lastRenderedPageBreak/>
              <w:t>Evidence</w:t>
            </w:r>
          </w:p>
          <w:p w14:paraId="06F83F4B" w14:textId="77777777" w:rsidR="004D3B6D" w:rsidRDefault="003F4555">
            <w:pPr>
              <w:pStyle w:val="normal0"/>
              <w:numPr>
                <w:ilvl w:val="0"/>
                <w:numId w:val="7"/>
              </w:numPr>
              <w:contextualSpacing/>
              <w:rPr>
                <w:rFonts w:ascii="Muli" w:eastAsia="Muli" w:hAnsi="Muli" w:cs="Muli"/>
                <w:sz w:val="20"/>
                <w:szCs w:val="20"/>
              </w:rPr>
            </w:pPr>
            <w:r>
              <w:rPr>
                <w:rFonts w:ascii="Muli" w:eastAsia="Muli" w:hAnsi="Muli" w:cs="Muli"/>
                <w:sz w:val="20"/>
                <w:szCs w:val="20"/>
              </w:rPr>
              <w:t xml:space="preserve">Students share ideas about what happens when they push or pull objects, answering the first part of the Module Phenomenon </w:t>
            </w:r>
            <w:r>
              <w:rPr>
                <w:rFonts w:ascii="Muli" w:eastAsia="Muli" w:hAnsi="Muli" w:cs="Muli"/>
                <w:b/>
                <w:color w:val="FF126D"/>
                <w:sz w:val="20"/>
                <w:szCs w:val="20"/>
              </w:rPr>
              <w:t>(DQ1L2 Connect TE p. 18)</w:t>
            </w:r>
            <w:r>
              <w:rPr>
                <w:rFonts w:ascii="Muli" w:eastAsia="Muli" w:hAnsi="Muli" w:cs="Muli"/>
                <w:sz w:val="20"/>
                <w:szCs w:val="20"/>
              </w:rPr>
              <w:t xml:space="preserve">. </w:t>
            </w:r>
          </w:p>
          <w:p w14:paraId="7CA0D3F1" w14:textId="77777777" w:rsidR="004D3B6D" w:rsidRDefault="003F4555">
            <w:pPr>
              <w:pStyle w:val="normal0"/>
              <w:numPr>
                <w:ilvl w:val="0"/>
                <w:numId w:val="7"/>
              </w:numPr>
              <w:contextualSpacing/>
              <w:rPr>
                <w:rFonts w:ascii="Muli" w:eastAsia="Muli" w:hAnsi="Muli" w:cs="Muli"/>
                <w:sz w:val="20"/>
                <w:szCs w:val="20"/>
              </w:rPr>
            </w:pPr>
            <w:r>
              <w:rPr>
                <w:rFonts w:ascii="Muli" w:eastAsia="Muli" w:hAnsi="Muli" w:cs="Muli"/>
                <w:sz w:val="20"/>
                <w:szCs w:val="20"/>
              </w:rPr>
              <w:t xml:space="preserve">Students conduct a hands-on investigation into the phenomenon of gravity (DQ1L8 Investigate TE p.59). </w:t>
            </w:r>
          </w:p>
          <w:p w14:paraId="40EFD17E" w14:textId="77777777" w:rsidR="004D3B6D" w:rsidRDefault="003F4555">
            <w:pPr>
              <w:pStyle w:val="normal0"/>
              <w:numPr>
                <w:ilvl w:val="0"/>
                <w:numId w:val="7"/>
              </w:numPr>
              <w:contextualSpacing/>
              <w:rPr>
                <w:rFonts w:ascii="Muli" w:eastAsia="Muli" w:hAnsi="Muli" w:cs="Muli"/>
                <w:sz w:val="20"/>
                <w:szCs w:val="20"/>
              </w:rPr>
            </w:pPr>
            <w:r>
              <w:rPr>
                <w:rFonts w:ascii="Muli" w:eastAsia="Muli" w:hAnsi="Muli" w:cs="Muli"/>
                <w:sz w:val="20"/>
                <w:szCs w:val="20"/>
              </w:rPr>
              <w:t>Stud</w:t>
            </w:r>
            <w:r>
              <w:rPr>
                <w:rFonts w:ascii="Muli" w:eastAsia="Muli" w:hAnsi="Muli" w:cs="Muli"/>
                <w:sz w:val="20"/>
                <w:szCs w:val="20"/>
              </w:rPr>
              <w:t>ents write a narrative story or informational text that illustrates their understanding of the first Driving Question (DQ1L10 TE pp. 70–75).</w:t>
            </w:r>
          </w:p>
          <w:p w14:paraId="4B449BE0" w14:textId="77777777" w:rsidR="004D3B6D" w:rsidRDefault="003F4555">
            <w:pPr>
              <w:pStyle w:val="normal0"/>
              <w:numPr>
                <w:ilvl w:val="0"/>
                <w:numId w:val="7"/>
              </w:numPr>
              <w:contextualSpacing/>
              <w:rPr>
                <w:rFonts w:ascii="Muli" w:eastAsia="Muli" w:hAnsi="Muli" w:cs="Muli"/>
                <w:sz w:val="20"/>
                <w:szCs w:val="20"/>
              </w:rPr>
            </w:pPr>
            <w:r>
              <w:rPr>
                <w:rFonts w:ascii="Muli" w:eastAsia="Muli" w:hAnsi="Muli" w:cs="Muli"/>
                <w:sz w:val="20"/>
                <w:szCs w:val="20"/>
              </w:rPr>
              <w:t>Over the course of DQ2, students conduct a series of investigations into the problem of changing the speed or direc</w:t>
            </w:r>
            <w:r>
              <w:rPr>
                <w:rFonts w:ascii="Muli" w:eastAsia="Muli" w:hAnsi="Muli" w:cs="Muli"/>
                <w:sz w:val="20"/>
                <w:szCs w:val="20"/>
              </w:rPr>
              <w:t>tion of an object (for example, DQ2L4 TE p. 105, DQ2L5 TE pp. 111–112, DQ2L6 TE p. 119).</w:t>
            </w:r>
          </w:p>
          <w:p w14:paraId="221CB6B2" w14:textId="77777777" w:rsidR="004D3B6D" w:rsidRDefault="003F4555">
            <w:pPr>
              <w:pStyle w:val="normal0"/>
              <w:numPr>
                <w:ilvl w:val="0"/>
                <w:numId w:val="7"/>
              </w:numPr>
              <w:contextualSpacing/>
              <w:rPr>
                <w:rFonts w:ascii="Muli" w:eastAsia="Muli" w:hAnsi="Muli" w:cs="Muli"/>
                <w:sz w:val="20"/>
                <w:szCs w:val="20"/>
              </w:rPr>
            </w:pPr>
            <w:r>
              <w:rPr>
                <w:rFonts w:ascii="Muli" w:eastAsia="Muli" w:hAnsi="Muli" w:cs="Muli"/>
                <w:sz w:val="20"/>
                <w:szCs w:val="20"/>
              </w:rPr>
              <w:t>Students use their learning from the first two DQs to design, build, test, and revise a marble run that solves a design problem (DQ3L5 TE pp. 160–162). They present th</w:t>
            </w:r>
            <w:r>
              <w:rPr>
                <w:rFonts w:ascii="Muli" w:eastAsia="Muli" w:hAnsi="Muli" w:cs="Muli"/>
                <w:sz w:val="20"/>
                <w:szCs w:val="20"/>
              </w:rPr>
              <w:t>eir completed marble runs to the class, using their knowledge of the Module Phenomenon to explain how their marble run works (DQ3L6 TE p. 167).</w:t>
            </w:r>
          </w:p>
        </w:tc>
        <w:tc>
          <w:tcPr>
            <w:tcW w:w="4425" w:type="dxa"/>
            <w:tcMar>
              <w:top w:w="99" w:type="dxa"/>
              <w:left w:w="99" w:type="dxa"/>
              <w:bottom w:w="99" w:type="dxa"/>
              <w:right w:w="99" w:type="dxa"/>
            </w:tcMar>
          </w:tcPr>
          <w:p w14:paraId="429987BB" w14:textId="77777777" w:rsidR="004D3B6D" w:rsidRDefault="003F4555">
            <w:pPr>
              <w:pStyle w:val="normal0"/>
              <w:rPr>
                <w:rFonts w:ascii="Muli" w:eastAsia="Muli" w:hAnsi="Muli" w:cs="Muli"/>
                <w:sz w:val="20"/>
                <w:szCs w:val="20"/>
              </w:rPr>
            </w:pPr>
            <w:r>
              <w:rPr>
                <w:rFonts w:ascii="Muli" w:eastAsia="Muli" w:hAnsi="Muli" w:cs="Muli"/>
                <w:noProof/>
                <w:sz w:val="20"/>
                <w:szCs w:val="20"/>
              </w:rPr>
              <w:drawing>
                <wp:inline distT="114300" distB="114300" distL="114300" distR="114300" wp14:anchorId="52CD8E27" wp14:editId="32D34BD4">
                  <wp:extent cx="2600325" cy="1685925"/>
                  <wp:effectExtent l="12700" t="12700" r="12700" b="127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r="2846"/>
                          <a:stretch>
                            <a:fillRect/>
                          </a:stretch>
                        </pic:blipFill>
                        <pic:spPr>
                          <a:xfrm>
                            <a:off x="0" y="0"/>
                            <a:ext cx="2600325" cy="1685925"/>
                          </a:xfrm>
                          <a:prstGeom prst="rect">
                            <a:avLst/>
                          </a:prstGeom>
                          <a:ln w="12700">
                            <a:solidFill>
                              <a:srgbClr val="D9D9D9"/>
                            </a:solidFill>
                            <a:prstDash val="solid"/>
                          </a:ln>
                        </pic:spPr>
                      </pic:pic>
                    </a:graphicData>
                  </a:graphic>
                </wp:inline>
              </w:drawing>
            </w:r>
            <w:r>
              <w:rPr>
                <w:rFonts w:ascii="Muli" w:eastAsia="Muli" w:hAnsi="Muli" w:cs="Muli"/>
                <w:b/>
                <w:color w:val="FF126D"/>
                <w:sz w:val="20"/>
                <w:szCs w:val="20"/>
              </w:rPr>
              <w:t>DQ1L2 Connect TE p. 18</w:t>
            </w:r>
          </w:p>
        </w:tc>
      </w:tr>
      <w:tr w:rsidR="004D3B6D" w14:paraId="48507552" w14:textId="77777777">
        <w:trPr>
          <w:trHeight w:val="640"/>
        </w:trPr>
        <w:tc>
          <w:tcPr>
            <w:tcW w:w="14670" w:type="dxa"/>
            <w:gridSpan w:val="2"/>
            <w:shd w:val="clear" w:color="auto" w:fill="D9D9D9"/>
            <w:tcMar>
              <w:top w:w="99" w:type="dxa"/>
              <w:left w:w="99" w:type="dxa"/>
              <w:bottom w:w="99" w:type="dxa"/>
              <w:right w:w="99" w:type="dxa"/>
            </w:tcMar>
          </w:tcPr>
          <w:p w14:paraId="668A1D24" w14:textId="77777777" w:rsidR="004D3B6D" w:rsidRDefault="003F4555">
            <w:pPr>
              <w:pStyle w:val="normal0"/>
              <w:ind w:right="105"/>
              <w:rPr>
                <w:rFonts w:ascii="Muli" w:eastAsia="Muli" w:hAnsi="Muli" w:cs="Muli"/>
                <w:b/>
                <w:color w:val="2F5496"/>
                <w:sz w:val="20"/>
                <w:szCs w:val="20"/>
              </w:rPr>
            </w:pPr>
            <w:r>
              <w:rPr>
                <w:rFonts w:ascii="Muli" w:eastAsia="Muli" w:hAnsi="Muli" w:cs="Muli"/>
                <w:b/>
                <w:color w:val="2F5496"/>
                <w:sz w:val="20"/>
                <w:szCs w:val="20"/>
              </w:rPr>
              <w:t>SW2. Three-Dimensional Conceptual Framework.</w:t>
            </w:r>
          </w:p>
          <w:p w14:paraId="5B8CEC42" w14:textId="77777777" w:rsidR="004D3B6D" w:rsidRDefault="003F4555">
            <w:pPr>
              <w:pStyle w:val="normal0"/>
              <w:spacing w:before="1"/>
              <w:ind w:right="157"/>
              <w:rPr>
                <w:rFonts w:ascii="Muli" w:eastAsia="Muli" w:hAnsi="Muli" w:cs="Muli"/>
                <w:b/>
                <w:sz w:val="20"/>
                <w:szCs w:val="20"/>
              </w:rPr>
            </w:pPr>
            <w:r>
              <w:rPr>
                <w:rFonts w:ascii="Muli" w:eastAsia="Muli" w:hAnsi="Muli" w:cs="Muli"/>
                <w:sz w:val="20"/>
                <w:szCs w:val="20"/>
              </w:rPr>
              <w:t xml:space="preserve">Students’ experiences consistently support them to use their prior knowledge to negotiate new understandings and abilities and apply their understandings in a variety of ways. </w:t>
            </w:r>
          </w:p>
        </w:tc>
      </w:tr>
      <w:tr w:rsidR="004D3B6D" w14:paraId="7455C830" w14:textId="77777777">
        <w:trPr>
          <w:trHeight w:val="640"/>
        </w:trPr>
        <w:tc>
          <w:tcPr>
            <w:tcW w:w="14670" w:type="dxa"/>
            <w:gridSpan w:val="2"/>
            <w:shd w:val="clear" w:color="auto" w:fill="FFFFFF"/>
            <w:tcMar>
              <w:top w:w="99" w:type="dxa"/>
              <w:left w:w="99" w:type="dxa"/>
              <w:bottom w:w="99" w:type="dxa"/>
              <w:right w:w="99" w:type="dxa"/>
            </w:tcMar>
          </w:tcPr>
          <w:p w14:paraId="51B1A05B" w14:textId="77777777" w:rsidR="004D3B6D" w:rsidRDefault="003F4555">
            <w:pPr>
              <w:pStyle w:val="normal0"/>
              <w:spacing w:before="1"/>
              <w:ind w:right="157"/>
              <w:rPr>
                <w:rFonts w:ascii="Muli" w:eastAsia="Muli" w:hAnsi="Muli" w:cs="Muli"/>
                <w:sz w:val="20"/>
                <w:szCs w:val="20"/>
              </w:rPr>
            </w:pPr>
            <w:r>
              <w:rPr>
                <w:rFonts w:ascii="Muli" w:eastAsia="Muli" w:hAnsi="Muli" w:cs="Muli"/>
                <w:sz w:val="20"/>
                <w:szCs w:val="20"/>
              </w:rPr>
              <w:t xml:space="preserve">In DQ1, students start by exploring how different objects move. They activate </w:t>
            </w:r>
            <w:r>
              <w:rPr>
                <w:rFonts w:ascii="Muli" w:eastAsia="Muli" w:hAnsi="Muli" w:cs="Muli"/>
                <w:sz w:val="20"/>
                <w:szCs w:val="20"/>
              </w:rPr>
              <w:t xml:space="preserve">their prior knowledge with a Prior-Knowledge Read-Aloud, learn to use the terms </w:t>
            </w:r>
            <w:r>
              <w:rPr>
                <w:rFonts w:ascii="Muli" w:eastAsia="Muli" w:hAnsi="Muli" w:cs="Muli"/>
                <w:i/>
                <w:sz w:val="20"/>
                <w:szCs w:val="20"/>
              </w:rPr>
              <w:t>push</w:t>
            </w:r>
            <w:r>
              <w:rPr>
                <w:rFonts w:ascii="Muli" w:eastAsia="Muli" w:hAnsi="Muli" w:cs="Muli"/>
                <w:sz w:val="20"/>
                <w:szCs w:val="20"/>
              </w:rPr>
              <w:t xml:space="preserve"> and </w:t>
            </w:r>
            <w:r>
              <w:rPr>
                <w:rFonts w:ascii="Muli" w:eastAsia="Muli" w:hAnsi="Muli" w:cs="Muli"/>
                <w:i/>
                <w:sz w:val="20"/>
                <w:szCs w:val="20"/>
              </w:rPr>
              <w:t>pull</w:t>
            </w:r>
            <w:r>
              <w:rPr>
                <w:rFonts w:ascii="Muli" w:eastAsia="Muli" w:hAnsi="Muli" w:cs="Muli"/>
                <w:sz w:val="20"/>
                <w:szCs w:val="20"/>
              </w:rPr>
              <w:t xml:space="preserve"> correctly in context, and then explore the classroom to identify objects that can be pushed, pulled, or neither (SEP-3). They watch videos that show and reinforce</w:t>
            </w:r>
            <w:r>
              <w:rPr>
                <w:rFonts w:ascii="Muli" w:eastAsia="Muli" w:hAnsi="Muli" w:cs="Muli"/>
                <w:sz w:val="20"/>
                <w:szCs w:val="20"/>
              </w:rPr>
              <w:t xml:space="preserve"> that force is responsible for making things move (PS2.A), and conduct hands-on investigations into how the strength of a push or pull affects an object’s movement (SEP-3). They discuss their findings about forces and motion (PS2.A) and the relationship be</w:t>
            </w:r>
            <w:r>
              <w:rPr>
                <w:rFonts w:ascii="Muli" w:eastAsia="Muli" w:hAnsi="Muli" w:cs="Muli"/>
                <w:sz w:val="20"/>
                <w:szCs w:val="20"/>
              </w:rPr>
              <w:t>tween energy and forces, relating their discoveries to cause and effect (CCC-2).</w:t>
            </w:r>
          </w:p>
          <w:p w14:paraId="2661AD89" w14:textId="77777777" w:rsidR="004D3B6D" w:rsidRDefault="004D3B6D">
            <w:pPr>
              <w:pStyle w:val="normal0"/>
              <w:spacing w:before="1"/>
              <w:ind w:right="157"/>
              <w:rPr>
                <w:rFonts w:ascii="Muli" w:eastAsia="Muli" w:hAnsi="Muli" w:cs="Muli"/>
                <w:sz w:val="20"/>
                <w:szCs w:val="20"/>
              </w:rPr>
            </w:pPr>
          </w:p>
          <w:p w14:paraId="0C4B1885" w14:textId="77777777" w:rsidR="004D3B6D" w:rsidRDefault="003F4555">
            <w:pPr>
              <w:pStyle w:val="normal0"/>
              <w:spacing w:before="1"/>
              <w:ind w:right="157"/>
              <w:rPr>
                <w:rFonts w:ascii="Muli" w:eastAsia="Muli" w:hAnsi="Muli" w:cs="Muli"/>
                <w:sz w:val="20"/>
                <w:szCs w:val="20"/>
              </w:rPr>
            </w:pPr>
            <w:r>
              <w:rPr>
                <w:rFonts w:ascii="Muli" w:eastAsia="Muli" w:hAnsi="Muli" w:cs="Muli"/>
                <w:sz w:val="20"/>
                <w:szCs w:val="20"/>
              </w:rPr>
              <w:t>Students analyze and interpret images relating to forces and motion (SEP-4, PS2.A) and engage in a close reading about moving and rolling, identifying causes and effects (CCC</w:t>
            </w:r>
            <w:r>
              <w:rPr>
                <w:rFonts w:ascii="Muli" w:eastAsia="Muli" w:hAnsi="Muli" w:cs="Muli"/>
                <w:sz w:val="20"/>
                <w:szCs w:val="20"/>
              </w:rPr>
              <w:t>-2). They carry out hands-on investigations to explore the phenomenon of gravity (SEP-3, PS2.A) and demonstrate their new understandings of pushes and pulls by writing a short narrative story or informational text that they share with the class (SEP-8).</w:t>
            </w:r>
          </w:p>
          <w:p w14:paraId="37F85F30" w14:textId="77777777" w:rsidR="004D3B6D" w:rsidRDefault="004D3B6D">
            <w:pPr>
              <w:pStyle w:val="normal0"/>
              <w:spacing w:before="1"/>
              <w:ind w:right="157"/>
              <w:rPr>
                <w:rFonts w:ascii="Muli" w:eastAsia="Muli" w:hAnsi="Muli" w:cs="Muli"/>
                <w:sz w:val="20"/>
                <w:szCs w:val="20"/>
              </w:rPr>
            </w:pPr>
          </w:p>
          <w:p w14:paraId="4E68891B" w14:textId="77777777" w:rsidR="004D3B6D" w:rsidRDefault="003F4555">
            <w:pPr>
              <w:pStyle w:val="normal0"/>
              <w:spacing w:before="1"/>
              <w:ind w:right="157"/>
              <w:rPr>
                <w:rFonts w:ascii="Muli" w:eastAsia="Muli" w:hAnsi="Muli" w:cs="Muli"/>
                <w:sz w:val="20"/>
                <w:szCs w:val="20"/>
              </w:rPr>
            </w:pPr>
            <w:r>
              <w:rPr>
                <w:rFonts w:ascii="Muli" w:eastAsia="Muli" w:hAnsi="Muli" w:cs="Muli"/>
                <w:sz w:val="20"/>
                <w:szCs w:val="20"/>
              </w:rPr>
              <w:t>S</w:t>
            </w:r>
            <w:r>
              <w:rPr>
                <w:rFonts w:ascii="Muli" w:eastAsia="Muli" w:hAnsi="Muli" w:cs="Muli"/>
                <w:sz w:val="20"/>
                <w:szCs w:val="20"/>
              </w:rPr>
              <w:t>tudents then conduct a series of hands-on investigations to compare the effects of different strengths or directions of pushes or pulls on the motion of an object (SEP-3, PS2.A, PS3.C). They ask how they might change their experiments (SEP-1) and debate wh</w:t>
            </w:r>
            <w:r>
              <w:rPr>
                <w:rFonts w:ascii="Muli" w:eastAsia="Muli" w:hAnsi="Muli" w:cs="Muli"/>
                <w:sz w:val="20"/>
                <w:szCs w:val="20"/>
              </w:rPr>
              <w:t>ich of two setups was more effective (SEP-7). They explore different types of interactions by investigating what happens when marbles collide (PS2.B), and write and draw an example of something they can do to change the speed or direction of a marble (SEP-</w:t>
            </w:r>
            <w:r>
              <w:rPr>
                <w:rFonts w:ascii="Muli" w:eastAsia="Muli" w:hAnsi="Muli" w:cs="Muli"/>
                <w:sz w:val="20"/>
                <w:szCs w:val="20"/>
              </w:rPr>
              <w:t>2), sharing their results with the class (SEP-8).</w:t>
            </w:r>
          </w:p>
          <w:p w14:paraId="1B60B464" w14:textId="77777777" w:rsidR="004D3B6D" w:rsidRDefault="004D3B6D">
            <w:pPr>
              <w:pStyle w:val="normal0"/>
              <w:spacing w:before="1"/>
              <w:ind w:right="157"/>
              <w:rPr>
                <w:rFonts w:ascii="Muli" w:eastAsia="Muli" w:hAnsi="Muli" w:cs="Muli"/>
                <w:sz w:val="20"/>
                <w:szCs w:val="20"/>
              </w:rPr>
            </w:pPr>
          </w:p>
          <w:p w14:paraId="67F52329" w14:textId="77777777" w:rsidR="004D3B6D" w:rsidRDefault="003F4555">
            <w:pPr>
              <w:pStyle w:val="normal0"/>
              <w:spacing w:before="1"/>
              <w:ind w:right="157"/>
              <w:rPr>
                <w:rFonts w:ascii="Muli" w:eastAsia="Muli" w:hAnsi="Muli" w:cs="Muli"/>
                <w:sz w:val="20"/>
                <w:szCs w:val="20"/>
              </w:rPr>
            </w:pPr>
            <w:r>
              <w:rPr>
                <w:rFonts w:ascii="Muli" w:eastAsia="Muli" w:hAnsi="Muli" w:cs="Muli"/>
                <w:sz w:val="20"/>
                <w:szCs w:val="20"/>
              </w:rPr>
              <w:t xml:space="preserve">Students start their engineering project, first investigating and observing a set of marble run parts in order to clearly understand the problem of </w:t>
            </w:r>
            <w:r>
              <w:rPr>
                <w:rFonts w:ascii="Muli" w:eastAsia="Muli" w:hAnsi="Muli" w:cs="Muli"/>
                <w:sz w:val="20"/>
                <w:szCs w:val="20"/>
              </w:rPr>
              <w:lastRenderedPageBreak/>
              <w:t>creating a marble run (ETS1.A, SEP-4, CCC-2). They use wh</w:t>
            </w:r>
            <w:r>
              <w:rPr>
                <w:rFonts w:ascii="Muli" w:eastAsia="Muli" w:hAnsi="Muli" w:cs="Muli"/>
                <w:sz w:val="20"/>
                <w:szCs w:val="20"/>
              </w:rPr>
              <w:t>at they have learned about forces and motion (PS2.A, PS2.B, PS3.C) as they build, predict the outcome of, and test marble runs. They close read an informational text about engineers and what they do, and reflect on how they have completed tasks that engine</w:t>
            </w:r>
            <w:r>
              <w:rPr>
                <w:rFonts w:ascii="Muli" w:eastAsia="Muli" w:hAnsi="Muli" w:cs="Muli"/>
                <w:sz w:val="20"/>
                <w:szCs w:val="20"/>
              </w:rPr>
              <w:t>ers also perform (SEP-8).</w:t>
            </w:r>
          </w:p>
          <w:p w14:paraId="4252DCFF" w14:textId="77777777" w:rsidR="004D3B6D" w:rsidRDefault="004D3B6D">
            <w:pPr>
              <w:pStyle w:val="normal0"/>
              <w:spacing w:before="1"/>
              <w:ind w:right="157"/>
              <w:rPr>
                <w:rFonts w:ascii="Muli" w:eastAsia="Muli" w:hAnsi="Muli" w:cs="Muli"/>
                <w:sz w:val="20"/>
                <w:szCs w:val="20"/>
              </w:rPr>
            </w:pPr>
          </w:p>
          <w:p w14:paraId="7FF4FB33" w14:textId="77777777" w:rsidR="004D3B6D" w:rsidRDefault="003F4555">
            <w:pPr>
              <w:pStyle w:val="normal0"/>
              <w:spacing w:before="1"/>
              <w:ind w:right="157"/>
              <w:rPr>
                <w:rFonts w:ascii="Muli" w:eastAsia="Muli" w:hAnsi="Muli" w:cs="Muli"/>
                <w:sz w:val="20"/>
                <w:szCs w:val="20"/>
              </w:rPr>
            </w:pPr>
            <w:r>
              <w:rPr>
                <w:rFonts w:ascii="Muli" w:eastAsia="Muli" w:hAnsi="Muli" w:cs="Muli"/>
                <w:sz w:val="20"/>
                <w:szCs w:val="20"/>
              </w:rPr>
              <w:t>Finally, students define a design problem (ETS1.A, SEP-1), develop a model based on their learning (SEP-2, PS2.A), and build, test, and revise their marble runs (SEP-3, SEP-4). They engage in a gallery walk as they present their marble runs to the class an</w:t>
            </w:r>
            <w:r>
              <w:rPr>
                <w:rFonts w:ascii="Muli" w:eastAsia="Muli" w:hAnsi="Muli" w:cs="Muli"/>
                <w:sz w:val="20"/>
                <w:szCs w:val="20"/>
              </w:rPr>
              <w:t>d use their understanding of the Module Phenomenon to explain how the marble moves through their design (SEP-8).</w:t>
            </w:r>
          </w:p>
        </w:tc>
      </w:tr>
      <w:tr w:rsidR="004D3B6D" w14:paraId="744792A2" w14:textId="77777777">
        <w:trPr>
          <w:trHeight w:val="640"/>
        </w:trPr>
        <w:tc>
          <w:tcPr>
            <w:tcW w:w="10245" w:type="dxa"/>
            <w:shd w:val="clear" w:color="auto" w:fill="FFFFFF"/>
            <w:tcMar>
              <w:top w:w="99" w:type="dxa"/>
              <w:left w:w="99" w:type="dxa"/>
              <w:bottom w:w="99" w:type="dxa"/>
              <w:right w:w="99" w:type="dxa"/>
            </w:tcMar>
          </w:tcPr>
          <w:p w14:paraId="19EDD299" w14:textId="77777777" w:rsidR="004D3B6D" w:rsidRDefault="003F4555">
            <w:pPr>
              <w:pStyle w:val="normal0"/>
              <w:ind w:right="-118"/>
              <w:rPr>
                <w:rFonts w:ascii="Muli" w:eastAsia="Muli" w:hAnsi="Muli" w:cs="Muli"/>
                <w:b/>
                <w:color w:val="2F5496"/>
                <w:sz w:val="20"/>
                <w:szCs w:val="20"/>
              </w:rPr>
            </w:pPr>
            <w:r>
              <w:rPr>
                <w:rFonts w:ascii="Muli" w:eastAsia="Muli" w:hAnsi="Muli" w:cs="Muli"/>
                <w:sz w:val="20"/>
                <w:szCs w:val="20"/>
              </w:rPr>
              <w:lastRenderedPageBreak/>
              <w:t>The SEPs and CCCs that the students are using in each learning activity are labeled at point of use in the student edition</w:t>
            </w:r>
            <w:r>
              <w:rPr>
                <w:rFonts w:ascii="Muli" w:eastAsia="Muli" w:hAnsi="Muli" w:cs="Muli"/>
                <w:b/>
                <w:color w:val="FF126D"/>
                <w:sz w:val="20"/>
                <w:szCs w:val="20"/>
              </w:rPr>
              <w:t xml:space="preserve"> (Twig Book)</w:t>
            </w:r>
            <w:r>
              <w:rPr>
                <w:rFonts w:ascii="Muli" w:eastAsia="Muli" w:hAnsi="Muli" w:cs="Muli"/>
                <w:sz w:val="20"/>
                <w:szCs w:val="20"/>
              </w:rPr>
              <w:t xml:space="preserve"> in grad</w:t>
            </w:r>
            <w:r>
              <w:rPr>
                <w:rFonts w:ascii="Muli" w:eastAsia="Muli" w:hAnsi="Muli" w:cs="Muli"/>
                <w:sz w:val="20"/>
                <w:szCs w:val="20"/>
              </w:rPr>
              <w:t>e-appropriate language.</w:t>
            </w:r>
          </w:p>
        </w:tc>
        <w:tc>
          <w:tcPr>
            <w:tcW w:w="4425" w:type="dxa"/>
            <w:shd w:val="clear" w:color="auto" w:fill="FFFFFF"/>
            <w:tcMar>
              <w:top w:w="99" w:type="dxa"/>
              <w:left w:w="99" w:type="dxa"/>
              <w:bottom w:w="99" w:type="dxa"/>
              <w:right w:w="99" w:type="dxa"/>
            </w:tcMar>
          </w:tcPr>
          <w:p w14:paraId="53B5067B" w14:textId="77777777" w:rsidR="004D3B6D" w:rsidRDefault="003F4555">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6F10DFCD" wp14:editId="7566A8DD">
                  <wp:extent cx="2676525" cy="20193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676525" cy="2019300"/>
                          </a:xfrm>
                          <a:prstGeom prst="rect">
                            <a:avLst/>
                          </a:prstGeom>
                          <a:ln/>
                        </pic:spPr>
                      </pic:pic>
                    </a:graphicData>
                  </a:graphic>
                </wp:inline>
              </w:drawing>
            </w:r>
          </w:p>
          <w:p w14:paraId="62C680C9" w14:textId="77777777" w:rsidR="004D3B6D" w:rsidRDefault="003F4555">
            <w:pPr>
              <w:pStyle w:val="normal0"/>
              <w:ind w:right="-118"/>
              <w:rPr>
                <w:rFonts w:ascii="Muli" w:eastAsia="Muli" w:hAnsi="Muli" w:cs="Muli"/>
                <w:sz w:val="20"/>
                <w:szCs w:val="20"/>
              </w:rPr>
            </w:pPr>
            <w:r>
              <w:rPr>
                <w:rFonts w:ascii="Muli" w:eastAsia="Muli" w:hAnsi="Muli" w:cs="Muli"/>
                <w:b/>
                <w:color w:val="FF126D"/>
                <w:sz w:val="20"/>
                <w:szCs w:val="20"/>
              </w:rPr>
              <w:t>Twig Book</w:t>
            </w:r>
          </w:p>
        </w:tc>
      </w:tr>
      <w:tr w:rsidR="004D3B6D" w14:paraId="00D7F475" w14:textId="77777777">
        <w:trPr>
          <w:trHeight w:val="640"/>
        </w:trPr>
        <w:tc>
          <w:tcPr>
            <w:tcW w:w="10245" w:type="dxa"/>
            <w:shd w:val="clear" w:color="auto" w:fill="FFFFFF"/>
            <w:tcMar>
              <w:top w:w="99" w:type="dxa"/>
              <w:left w:w="99" w:type="dxa"/>
              <w:bottom w:w="99" w:type="dxa"/>
              <w:right w:w="99" w:type="dxa"/>
            </w:tcMar>
          </w:tcPr>
          <w:p w14:paraId="78D1351A" w14:textId="77777777" w:rsidR="004D3B6D" w:rsidRDefault="003F4555">
            <w:pPr>
              <w:pStyle w:val="normal0"/>
              <w:rPr>
                <w:rFonts w:ascii="Muli" w:eastAsia="Muli" w:hAnsi="Muli" w:cs="Muli"/>
                <w:b/>
                <w:color w:val="FF126D"/>
                <w:sz w:val="20"/>
                <w:szCs w:val="20"/>
              </w:rPr>
            </w:pPr>
            <w:r>
              <w:rPr>
                <w:rFonts w:ascii="Muli" w:eastAsia="Muli" w:hAnsi="Muli" w:cs="Muli"/>
                <w:b/>
                <w:color w:val="FF126D"/>
                <w:sz w:val="20"/>
                <w:szCs w:val="20"/>
              </w:rPr>
              <w:t>Evidence</w:t>
            </w:r>
          </w:p>
          <w:p w14:paraId="0CEF2826" w14:textId="77777777" w:rsidR="004D3B6D" w:rsidRDefault="003F4555">
            <w:pPr>
              <w:pStyle w:val="normal0"/>
              <w:numPr>
                <w:ilvl w:val="0"/>
                <w:numId w:val="12"/>
              </w:numPr>
              <w:contextualSpacing/>
              <w:rPr>
                <w:rFonts w:ascii="Muli" w:eastAsia="Muli" w:hAnsi="Muli" w:cs="Muli"/>
                <w:sz w:val="20"/>
                <w:szCs w:val="20"/>
              </w:rPr>
            </w:pPr>
            <w:r>
              <w:rPr>
                <w:rFonts w:ascii="Muli" w:eastAsia="Muli" w:hAnsi="Muli" w:cs="Muli"/>
                <w:sz w:val="20"/>
                <w:szCs w:val="20"/>
              </w:rPr>
              <w:t>After investigating objects in the classroom, students draw their observations, showing something that can be pushed, something that be pulled, and something that cannot be pushed or pulled (DQ1L2 TB p. 5).</w:t>
            </w:r>
          </w:p>
          <w:p w14:paraId="4DE3FD77" w14:textId="77777777" w:rsidR="004D3B6D" w:rsidRDefault="003F4555">
            <w:pPr>
              <w:pStyle w:val="normal0"/>
              <w:numPr>
                <w:ilvl w:val="0"/>
                <w:numId w:val="12"/>
              </w:numPr>
              <w:contextualSpacing/>
              <w:rPr>
                <w:rFonts w:ascii="Muli" w:eastAsia="Muli" w:hAnsi="Muli" w:cs="Muli"/>
                <w:sz w:val="20"/>
                <w:szCs w:val="20"/>
              </w:rPr>
            </w:pPr>
            <w:r>
              <w:rPr>
                <w:rFonts w:ascii="Muli" w:eastAsia="Muli" w:hAnsi="Muli" w:cs="Muli"/>
                <w:sz w:val="20"/>
                <w:szCs w:val="20"/>
              </w:rPr>
              <w:t xml:space="preserve">Students read a text that reinforces the terms </w:t>
            </w:r>
            <w:r>
              <w:rPr>
                <w:rFonts w:ascii="Muli" w:eastAsia="Muli" w:hAnsi="Muli" w:cs="Muli"/>
                <w:i/>
                <w:sz w:val="20"/>
                <w:szCs w:val="20"/>
              </w:rPr>
              <w:t>push</w:t>
            </w:r>
            <w:r>
              <w:rPr>
                <w:rFonts w:ascii="Muli" w:eastAsia="Muli" w:hAnsi="Muli" w:cs="Muli"/>
                <w:sz w:val="20"/>
                <w:szCs w:val="20"/>
              </w:rPr>
              <w:t xml:space="preserve"> and </w:t>
            </w:r>
            <w:r>
              <w:rPr>
                <w:rFonts w:ascii="Muli" w:eastAsia="Muli" w:hAnsi="Muli" w:cs="Muli"/>
                <w:i/>
                <w:sz w:val="20"/>
                <w:szCs w:val="20"/>
              </w:rPr>
              <w:t>pull</w:t>
            </w:r>
            <w:r>
              <w:rPr>
                <w:rFonts w:ascii="Muli" w:eastAsia="Muli" w:hAnsi="Muli" w:cs="Muli"/>
                <w:sz w:val="20"/>
                <w:szCs w:val="20"/>
              </w:rPr>
              <w:t>, and then analyze and discuss images with a partner, determining if each image shows a push or a pull (DQ1L9 TB pp. 23–26).</w:t>
            </w:r>
          </w:p>
          <w:p w14:paraId="3E7F98E5" w14:textId="77777777" w:rsidR="004D3B6D" w:rsidRDefault="003F4555">
            <w:pPr>
              <w:pStyle w:val="normal0"/>
              <w:numPr>
                <w:ilvl w:val="0"/>
                <w:numId w:val="12"/>
              </w:numPr>
              <w:contextualSpacing/>
              <w:rPr>
                <w:rFonts w:ascii="Muli" w:eastAsia="Muli" w:hAnsi="Muli" w:cs="Muli"/>
                <w:sz w:val="20"/>
                <w:szCs w:val="20"/>
              </w:rPr>
            </w:pPr>
            <w:r>
              <w:rPr>
                <w:rFonts w:ascii="Muli" w:eastAsia="Muli" w:hAnsi="Muli" w:cs="Muli"/>
                <w:sz w:val="20"/>
                <w:szCs w:val="20"/>
              </w:rPr>
              <w:t xml:space="preserve">After an investigation, students complete a sentence starter, relating </w:t>
            </w:r>
            <w:r>
              <w:rPr>
                <w:rFonts w:ascii="Muli" w:eastAsia="Muli" w:hAnsi="Muli" w:cs="Muli"/>
                <w:sz w:val="20"/>
                <w:szCs w:val="20"/>
              </w:rPr>
              <w:t xml:space="preserve">the motion of a marble to the phenomenon of gravity in terms of cause and effect </w:t>
            </w:r>
            <w:r>
              <w:rPr>
                <w:rFonts w:ascii="Muli" w:eastAsia="Muli" w:hAnsi="Muli" w:cs="Muli"/>
                <w:b/>
                <w:color w:val="FF126D"/>
                <w:sz w:val="20"/>
                <w:szCs w:val="20"/>
              </w:rPr>
              <w:t>(DQ2L3 TB p. 36)</w:t>
            </w:r>
            <w:r>
              <w:rPr>
                <w:rFonts w:ascii="Muli" w:eastAsia="Muli" w:hAnsi="Muli" w:cs="Muli"/>
                <w:sz w:val="20"/>
                <w:szCs w:val="20"/>
              </w:rPr>
              <w:t>.</w:t>
            </w:r>
          </w:p>
          <w:p w14:paraId="40195ACA" w14:textId="77777777" w:rsidR="004D3B6D" w:rsidRDefault="003F4555">
            <w:pPr>
              <w:pStyle w:val="normal0"/>
              <w:numPr>
                <w:ilvl w:val="0"/>
                <w:numId w:val="12"/>
              </w:numPr>
              <w:contextualSpacing/>
              <w:rPr>
                <w:rFonts w:ascii="Muli" w:eastAsia="Muli" w:hAnsi="Muli" w:cs="Muli"/>
                <w:sz w:val="20"/>
                <w:szCs w:val="20"/>
              </w:rPr>
            </w:pPr>
            <w:r>
              <w:rPr>
                <w:rFonts w:ascii="Muli" w:eastAsia="Muli" w:hAnsi="Muli" w:cs="Muli"/>
                <w:sz w:val="20"/>
                <w:szCs w:val="20"/>
              </w:rPr>
              <w:t>Students investigate what happens when marbles of different sizes collide, drawing their predictions and observations (DQ2L6 TB pp. 43–44).</w:t>
            </w:r>
          </w:p>
        </w:tc>
        <w:tc>
          <w:tcPr>
            <w:tcW w:w="4425" w:type="dxa"/>
            <w:shd w:val="clear" w:color="auto" w:fill="FFFFFF"/>
            <w:tcMar>
              <w:top w:w="99" w:type="dxa"/>
              <w:left w:w="99" w:type="dxa"/>
              <w:bottom w:w="99" w:type="dxa"/>
              <w:right w:w="99" w:type="dxa"/>
            </w:tcMar>
          </w:tcPr>
          <w:p w14:paraId="27BCC9CE" w14:textId="77777777" w:rsidR="004D3B6D" w:rsidRDefault="003F4555">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7E692DFA" wp14:editId="2415CE3A">
                  <wp:extent cx="2676525" cy="17272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676525" cy="1727200"/>
                          </a:xfrm>
                          <a:prstGeom prst="rect">
                            <a:avLst/>
                          </a:prstGeom>
                          <a:ln/>
                        </pic:spPr>
                      </pic:pic>
                    </a:graphicData>
                  </a:graphic>
                </wp:inline>
              </w:drawing>
            </w:r>
          </w:p>
          <w:p w14:paraId="1096B62F" w14:textId="77777777" w:rsidR="004D3B6D" w:rsidRDefault="003F4555">
            <w:pPr>
              <w:pStyle w:val="normal0"/>
              <w:rPr>
                <w:rFonts w:ascii="Muli" w:eastAsia="Muli" w:hAnsi="Muli" w:cs="Muli"/>
                <w:b/>
                <w:sz w:val="20"/>
                <w:szCs w:val="20"/>
              </w:rPr>
            </w:pPr>
            <w:r>
              <w:rPr>
                <w:rFonts w:ascii="Muli" w:eastAsia="Muli" w:hAnsi="Muli" w:cs="Muli"/>
                <w:b/>
                <w:color w:val="FF126D"/>
                <w:sz w:val="20"/>
                <w:szCs w:val="20"/>
              </w:rPr>
              <w:t>DQ2L3 TB p. 36</w:t>
            </w:r>
          </w:p>
        </w:tc>
      </w:tr>
      <w:tr w:rsidR="004D3B6D" w14:paraId="7E93239A" w14:textId="77777777">
        <w:trPr>
          <w:trHeight w:val="640"/>
        </w:trPr>
        <w:tc>
          <w:tcPr>
            <w:tcW w:w="10245" w:type="dxa"/>
            <w:shd w:val="clear" w:color="auto" w:fill="FFFFFF"/>
            <w:tcMar>
              <w:top w:w="99" w:type="dxa"/>
              <w:left w:w="99" w:type="dxa"/>
              <w:bottom w:w="99" w:type="dxa"/>
              <w:right w:w="99" w:type="dxa"/>
            </w:tcMar>
          </w:tcPr>
          <w:p w14:paraId="77C9D5A3" w14:textId="77777777" w:rsidR="004D3B6D" w:rsidRDefault="003F4555">
            <w:pPr>
              <w:pStyle w:val="normal0"/>
              <w:numPr>
                <w:ilvl w:val="0"/>
                <w:numId w:val="12"/>
              </w:numPr>
              <w:contextualSpacing/>
              <w:rPr>
                <w:rFonts w:ascii="Muli" w:eastAsia="Muli" w:hAnsi="Muli" w:cs="Muli"/>
                <w:sz w:val="20"/>
                <w:szCs w:val="20"/>
              </w:rPr>
            </w:pPr>
            <w:r>
              <w:rPr>
                <w:rFonts w:ascii="Muli" w:eastAsia="Muli" w:hAnsi="Muli" w:cs="Muli"/>
                <w:sz w:val="20"/>
                <w:szCs w:val="20"/>
              </w:rPr>
              <w:lastRenderedPageBreak/>
              <w:t xml:space="preserve">Students apply their new understandings and ideas to revise their marble runs. They explain how their design changed as they learned from their failures and challenges </w:t>
            </w:r>
            <w:r>
              <w:rPr>
                <w:rFonts w:ascii="Muli" w:eastAsia="Muli" w:hAnsi="Muli" w:cs="Muli"/>
                <w:b/>
                <w:color w:val="FF126D"/>
                <w:sz w:val="20"/>
                <w:szCs w:val="20"/>
              </w:rPr>
              <w:t>(DQ3L5 TB pp. 64–65)</w:t>
            </w:r>
            <w:r>
              <w:rPr>
                <w:rFonts w:ascii="Muli" w:eastAsia="Muli" w:hAnsi="Muli" w:cs="Muli"/>
                <w:sz w:val="20"/>
                <w:szCs w:val="20"/>
              </w:rPr>
              <w:t>.</w:t>
            </w:r>
          </w:p>
        </w:tc>
        <w:tc>
          <w:tcPr>
            <w:tcW w:w="4425" w:type="dxa"/>
            <w:shd w:val="clear" w:color="auto" w:fill="FFFFFF"/>
            <w:tcMar>
              <w:top w:w="99" w:type="dxa"/>
              <w:left w:w="99" w:type="dxa"/>
              <w:bottom w:w="99" w:type="dxa"/>
              <w:right w:w="99" w:type="dxa"/>
            </w:tcMar>
          </w:tcPr>
          <w:p w14:paraId="1515C3B5" w14:textId="77777777" w:rsidR="004D3B6D" w:rsidRDefault="003F4555">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73954B07" wp14:editId="416C4214">
                  <wp:extent cx="2321730" cy="1776413"/>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321730" cy="1776413"/>
                          </a:xfrm>
                          <a:prstGeom prst="rect">
                            <a:avLst/>
                          </a:prstGeom>
                          <a:ln/>
                        </pic:spPr>
                      </pic:pic>
                    </a:graphicData>
                  </a:graphic>
                </wp:inline>
              </w:drawing>
            </w:r>
          </w:p>
          <w:p w14:paraId="7F01AE92" w14:textId="77777777" w:rsidR="004D3B6D" w:rsidRDefault="003F4555">
            <w:pPr>
              <w:pStyle w:val="normal0"/>
              <w:rPr>
                <w:rFonts w:ascii="Muli" w:eastAsia="Muli" w:hAnsi="Muli" w:cs="Muli"/>
                <w:b/>
                <w:sz w:val="20"/>
                <w:szCs w:val="20"/>
              </w:rPr>
            </w:pPr>
            <w:r>
              <w:rPr>
                <w:rFonts w:ascii="Muli" w:eastAsia="Muli" w:hAnsi="Muli" w:cs="Muli"/>
                <w:b/>
                <w:color w:val="FF126D"/>
                <w:sz w:val="20"/>
                <w:szCs w:val="20"/>
              </w:rPr>
              <w:t>DQ3L5 TB pp. 64</w:t>
            </w:r>
          </w:p>
        </w:tc>
      </w:tr>
      <w:tr w:rsidR="004D3B6D" w14:paraId="6981B136" w14:textId="77777777">
        <w:trPr>
          <w:trHeight w:val="640"/>
        </w:trPr>
        <w:tc>
          <w:tcPr>
            <w:tcW w:w="14670" w:type="dxa"/>
            <w:gridSpan w:val="2"/>
            <w:shd w:val="clear" w:color="auto" w:fill="D9D9D9"/>
            <w:tcMar>
              <w:top w:w="99" w:type="dxa"/>
              <w:left w:w="99" w:type="dxa"/>
              <w:bottom w:w="99" w:type="dxa"/>
              <w:right w:w="99" w:type="dxa"/>
            </w:tcMar>
          </w:tcPr>
          <w:p w14:paraId="6DC9C1DB" w14:textId="77777777" w:rsidR="004D3B6D" w:rsidRDefault="003F4555">
            <w:pPr>
              <w:pStyle w:val="normal0"/>
              <w:ind w:right="105"/>
              <w:rPr>
                <w:rFonts w:ascii="Muli" w:eastAsia="Muli" w:hAnsi="Muli" w:cs="Muli"/>
                <w:b/>
                <w:color w:val="2F5496"/>
                <w:sz w:val="20"/>
                <w:szCs w:val="20"/>
              </w:rPr>
            </w:pPr>
            <w:r>
              <w:rPr>
                <w:rFonts w:ascii="Muli" w:eastAsia="Muli" w:hAnsi="Muli" w:cs="Muli"/>
                <w:b/>
                <w:color w:val="2F5496"/>
                <w:sz w:val="20"/>
                <w:szCs w:val="20"/>
              </w:rPr>
              <w:t>SW3. Prior Knowledge.</w:t>
            </w:r>
          </w:p>
          <w:p w14:paraId="701ED296" w14:textId="77777777" w:rsidR="004D3B6D" w:rsidRDefault="003F4555">
            <w:pPr>
              <w:pStyle w:val="normal0"/>
              <w:ind w:right="261"/>
              <w:rPr>
                <w:rFonts w:ascii="Muli" w:eastAsia="Muli" w:hAnsi="Muli" w:cs="Muli"/>
                <w:b/>
                <w:sz w:val="20"/>
                <w:szCs w:val="20"/>
              </w:rPr>
            </w:pPr>
            <w:r>
              <w:rPr>
                <w:rFonts w:ascii="Muli" w:eastAsia="Muli" w:hAnsi="Muli" w:cs="Muli"/>
                <w:sz w:val="20"/>
                <w:szCs w:val="20"/>
              </w:rPr>
              <w:t>Materials consistently l</w:t>
            </w:r>
            <w:r>
              <w:rPr>
                <w:rFonts w:ascii="Muli" w:eastAsia="Muli" w:hAnsi="Muli" w:cs="Muli"/>
                <w:sz w:val="20"/>
                <w:szCs w:val="20"/>
              </w:rPr>
              <w:t>everage student prior knowledge and experiences to motivate their learning.</w:t>
            </w:r>
          </w:p>
        </w:tc>
      </w:tr>
      <w:tr w:rsidR="004D3B6D" w14:paraId="391CF860" w14:textId="77777777">
        <w:trPr>
          <w:trHeight w:val="640"/>
        </w:trPr>
        <w:tc>
          <w:tcPr>
            <w:tcW w:w="14670" w:type="dxa"/>
            <w:gridSpan w:val="2"/>
            <w:shd w:val="clear" w:color="auto" w:fill="FFFFFF"/>
            <w:tcMar>
              <w:top w:w="99" w:type="dxa"/>
              <w:left w:w="99" w:type="dxa"/>
              <w:bottom w:w="99" w:type="dxa"/>
              <w:right w:w="99" w:type="dxa"/>
            </w:tcMar>
          </w:tcPr>
          <w:p w14:paraId="2F785409" w14:textId="77777777" w:rsidR="004D3B6D" w:rsidRDefault="003F4555">
            <w:pPr>
              <w:pStyle w:val="normal0"/>
              <w:rPr>
                <w:rFonts w:ascii="Muli" w:eastAsia="Muli" w:hAnsi="Muli" w:cs="Muli"/>
                <w:sz w:val="20"/>
                <w:szCs w:val="20"/>
                <w:shd w:val="clear" w:color="auto" w:fill="EA9999"/>
              </w:rPr>
            </w:pPr>
            <w:r>
              <w:rPr>
                <w:rFonts w:ascii="Muli" w:eastAsia="Muli" w:hAnsi="Muli" w:cs="Muli"/>
                <w:sz w:val="20"/>
                <w:szCs w:val="20"/>
              </w:rPr>
              <w:t>In DQ1L2, students use a</w:t>
            </w:r>
            <w:r>
              <w:rPr>
                <w:rFonts w:ascii="Muli" w:eastAsia="Muli" w:hAnsi="Muli" w:cs="Muli"/>
                <w:sz w:val="20"/>
                <w:szCs w:val="20"/>
                <w:u w:val="single"/>
              </w:rPr>
              <w:t xml:space="preserve"> </w:t>
            </w:r>
            <w:r>
              <w:rPr>
                <w:rFonts w:ascii="Muli" w:eastAsia="Muli" w:hAnsi="Muli" w:cs="Muli"/>
                <w:sz w:val="20"/>
                <w:szCs w:val="20"/>
              </w:rPr>
              <w:t>Prior-Knowledge Read-Aloud</w:t>
            </w:r>
            <w:r>
              <w:rPr>
                <w:rFonts w:ascii="Muli" w:eastAsia="Muli" w:hAnsi="Muli" w:cs="Muli"/>
                <w:color w:val="FF126D"/>
                <w:sz w:val="20"/>
                <w:szCs w:val="20"/>
              </w:rPr>
              <w:t xml:space="preserve"> </w:t>
            </w:r>
            <w:r>
              <w:rPr>
                <w:rFonts w:ascii="Muli" w:eastAsia="Muli" w:hAnsi="Muli" w:cs="Muli"/>
                <w:sz w:val="20"/>
                <w:szCs w:val="20"/>
              </w:rPr>
              <w:t>to activate prior knowledge of the different ways that things can move. They link their observations of cause and effect (CCC-2) to their learning in Grade K Module 1, My Big Nature Adventure.</w:t>
            </w:r>
          </w:p>
          <w:p w14:paraId="363CBAEE" w14:textId="77777777" w:rsidR="004D3B6D" w:rsidRDefault="004D3B6D">
            <w:pPr>
              <w:pStyle w:val="normal0"/>
              <w:rPr>
                <w:rFonts w:ascii="Muli" w:eastAsia="Muli" w:hAnsi="Muli" w:cs="Muli"/>
                <w:sz w:val="20"/>
                <w:szCs w:val="20"/>
                <w:shd w:val="clear" w:color="auto" w:fill="EA9999"/>
              </w:rPr>
            </w:pPr>
          </w:p>
          <w:p w14:paraId="52DC183F" w14:textId="77777777" w:rsidR="004D3B6D" w:rsidRDefault="003F4555">
            <w:pPr>
              <w:pStyle w:val="normal0"/>
              <w:rPr>
                <w:rFonts w:ascii="Muli" w:eastAsia="Muli" w:hAnsi="Muli" w:cs="Muli"/>
                <w:sz w:val="20"/>
                <w:szCs w:val="20"/>
              </w:rPr>
            </w:pPr>
            <w:r>
              <w:rPr>
                <w:rFonts w:ascii="Muli" w:eastAsia="Muli" w:hAnsi="Muli" w:cs="Muli"/>
                <w:sz w:val="20"/>
                <w:szCs w:val="20"/>
              </w:rPr>
              <w:t xml:space="preserve">Throughout the module, students are consistently supported to </w:t>
            </w:r>
            <w:r>
              <w:rPr>
                <w:rFonts w:ascii="Muli" w:eastAsia="Muli" w:hAnsi="Muli" w:cs="Muli"/>
                <w:sz w:val="20"/>
                <w:szCs w:val="20"/>
              </w:rPr>
              <w:t>revise their claims and relate their new understandings to answer the Driving Questions and solve the Module Phenomenon.</w:t>
            </w:r>
          </w:p>
          <w:p w14:paraId="609B1648" w14:textId="77777777" w:rsidR="004D3B6D" w:rsidRDefault="004D3B6D">
            <w:pPr>
              <w:pStyle w:val="normal0"/>
              <w:rPr>
                <w:rFonts w:ascii="Muli" w:eastAsia="Muli" w:hAnsi="Muli" w:cs="Muli"/>
                <w:sz w:val="20"/>
                <w:szCs w:val="20"/>
                <w:shd w:val="clear" w:color="auto" w:fill="EA9999"/>
              </w:rPr>
            </w:pPr>
          </w:p>
          <w:p w14:paraId="38B2A97D" w14:textId="77777777" w:rsidR="004D3B6D" w:rsidRDefault="003F4555">
            <w:pPr>
              <w:pStyle w:val="normal0"/>
              <w:rPr>
                <w:rFonts w:ascii="Muli" w:eastAsia="Muli" w:hAnsi="Muli" w:cs="Muli"/>
                <w:b/>
                <w:color w:val="2F5496"/>
                <w:sz w:val="20"/>
                <w:szCs w:val="20"/>
              </w:rPr>
            </w:pPr>
            <w:r>
              <w:rPr>
                <w:rFonts w:ascii="Muli" w:eastAsia="Muli" w:hAnsi="Muli" w:cs="Muli"/>
                <w:sz w:val="20"/>
                <w:szCs w:val="20"/>
              </w:rPr>
              <w:t>Throughout the module, students refer and add to their classroom Science Tools poster, which explicitly details their growing use of t</w:t>
            </w:r>
            <w:r>
              <w:rPr>
                <w:rFonts w:ascii="Muli" w:eastAsia="Muli" w:hAnsi="Muli" w:cs="Muli"/>
                <w:sz w:val="20"/>
                <w:szCs w:val="20"/>
              </w:rPr>
              <w:t xml:space="preserve">he SEPs, and motivates them by helping them visualize their progression.  </w:t>
            </w:r>
          </w:p>
        </w:tc>
      </w:tr>
      <w:tr w:rsidR="004D3B6D" w14:paraId="76238E0A" w14:textId="77777777">
        <w:trPr>
          <w:trHeight w:val="640"/>
        </w:trPr>
        <w:tc>
          <w:tcPr>
            <w:tcW w:w="10245" w:type="dxa"/>
            <w:shd w:val="clear" w:color="auto" w:fill="FFFFFF"/>
            <w:tcMar>
              <w:top w:w="99" w:type="dxa"/>
              <w:left w:w="99" w:type="dxa"/>
              <w:bottom w:w="99" w:type="dxa"/>
              <w:right w:w="99" w:type="dxa"/>
            </w:tcMar>
          </w:tcPr>
          <w:p w14:paraId="27715E28" w14:textId="77777777" w:rsidR="004D3B6D" w:rsidRDefault="003F4555">
            <w:pPr>
              <w:pStyle w:val="normal0"/>
              <w:rPr>
                <w:rFonts w:ascii="Muli" w:eastAsia="Muli" w:hAnsi="Muli" w:cs="Muli"/>
                <w:color w:val="FF126D"/>
                <w:sz w:val="20"/>
                <w:szCs w:val="20"/>
                <w:shd w:val="clear" w:color="auto" w:fill="EA9999"/>
              </w:rPr>
            </w:pPr>
            <w:r>
              <w:rPr>
                <w:rFonts w:ascii="Muli" w:eastAsia="Muli" w:hAnsi="Muli" w:cs="Muli"/>
                <w:b/>
                <w:color w:val="FF126D"/>
                <w:sz w:val="20"/>
                <w:szCs w:val="20"/>
              </w:rPr>
              <w:t>Evidence</w:t>
            </w:r>
          </w:p>
          <w:p w14:paraId="4335F1DB" w14:textId="77777777" w:rsidR="004D3B6D" w:rsidRDefault="003F4555">
            <w:pPr>
              <w:pStyle w:val="normal0"/>
              <w:numPr>
                <w:ilvl w:val="0"/>
                <w:numId w:val="1"/>
              </w:numPr>
              <w:rPr>
                <w:rFonts w:ascii="Muli" w:eastAsia="Muli" w:hAnsi="Muli" w:cs="Muli"/>
                <w:sz w:val="20"/>
                <w:szCs w:val="20"/>
              </w:rPr>
            </w:pPr>
            <w:r>
              <w:rPr>
                <w:rFonts w:ascii="Muli" w:eastAsia="Muli" w:hAnsi="Muli" w:cs="Muli"/>
                <w:sz w:val="20"/>
                <w:szCs w:val="20"/>
              </w:rPr>
              <w:t xml:space="preserve">Students complete a Pre-Exploration (diagnostic pre-assessment) to elicit awareness of their prior knowledge and misconceptions </w:t>
            </w:r>
            <w:r>
              <w:rPr>
                <w:rFonts w:ascii="Muli" w:eastAsia="Muli" w:hAnsi="Muli" w:cs="Muli"/>
                <w:b/>
                <w:color w:val="FF126D"/>
                <w:sz w:val="20"/>
                <w:szCs w:val="20"/>
              </w:rPr>
              <w:t>(DQ1L1 TB p. 4)</w:t>
            </w:r>
            <w:r>
              <w:rPr>
                <w:rFonts w:ascii="Muli" w:eastAsia="Muli" w:hAnsi="Muli" w:cs="Muli"/>
                <w:sz w:val="20"/>
                <w:szCs w:val="20"/>
              </w:rPr>
              <w:t>.</w:t>
            </w:r>
          </w:p>
          <w:p w14:paraId="078C49C9" w14:textId="77777777" w:rsidR="004D3B6D" w:rsidRDefault="003F4555">
            <w:pPr>
              <w:pStyle w:val="normal0"/>
              <w:numPr>
                <w:ilvl w:val="0"/>
                <w:numId w:val="1"/>
              </w:numPr>
              <w:rPr>
                <w:rFonts w:ascii="Muli" w:eastAsia="Muli" w:hAnsi="Muli" w:cs="Muli"/>
                <w:sz w:val="20"/>
                <w:szCs w:val="20"/>
              </w:rPr>
            </w:pPr>
            <w:r>
              <w:rPr>
                <w:rFonts w:ascii="Muli" w:eastAsia="Muli" w:hAnsi="Muli" w:cs="Muli"/>
                <w:sz w:val="20"/>
                <w:szCs w:val="20"/>
              </w:rPr>
              <w:t>Students engage with a Pri</w:t>
            </w:r>
            <w:r>
              <w:rPr>
                <w:rFonts w:ascii="Muli" w:eastAsia="Muli" w:hAnsi="Muli" w:cs="Muli"/>
                <w:sz w:val="20"/>
                <w:szCs w:val="20"/>
              </w:rPr>
              <w:t>or Knowledge Read-Aloud about different types of movement (DQ1L2 TE p. 16).</w:t>
            </w:r>
          </w:p>
          <w:p w14:paraId="2BF754B9" w14:textId="77777777" w:rsidR="004D3B6D" w:rsidRDefault="003F4555">
            <w:pPr>
              <w:pStyle w:val="normal0"/>
              <w:numPr>
                <w:ilvl w:val="0"/>
                <w:numId w:val="1"/>
              </w:numPr>
              <w:rPr>
                <w:rFonts w:ascii="Muli" w:eastAsia="Muli" w:hAnsi="Muli" w:cs="Muli"/>
                <w:sz w:val="20"/>
                <w:szCs w:val="20"/>
              </w:rPr>
            </w:pPr>
            <w:r>
              <w:rPr>
                <w:rFonts w:ascii="Muli" w:eastAsia="Muli" w:hAnsi="Muli" w:cs="Muli"/>
                <w:sz w:val="20"/>
                <w:szCs w:val="20"/>
              </w:rPr>
              <w:t>Students reflect on the new ideas that they have learned about pushes and pulls (DQ1L5 TB p. 12).</w:t>
            </w:r>
          </w:p>
          <w:p w14:paraId="4A7A1998" w14:textId="77777777" w:rsidR="004D3B6D" w:rsidRDefault="003F4555">
            <w:pPr>
              <w:pStyle w:val="normal0"/>
              <w:numPr>
                <w:ilvl w:val="0"/>
                <w:numId w:val="1"/>
              </w:numPr>
              <w:rPr>
                <w:rFonts w:ascii="Muli" w:eastAsia="Muli" w:hAnsi="Muli" w:cs="Muli"/>
                <w:sz w:val="20"/>
                <w:szCs w:val="20"/>
              </w:rPr>
            </w:pPr>
            <w:r>
              <w:rPr>
                <w:rFonts w:ascii="Muli" w:eastAsia="Muli" w:hAnsi="Muli" w:cs="Muli"/>
                <w:sz w:val="20"/>
                <w:szCs w:val="20"/>
              </w:rPr>
              <w:t>Students review their use of science tools and add “Design solutions” to their Science Tools poster (DQ3L3 TE p. 151).</w:t>
            </w:r>
          </w:p>
          <w:p w14:paraId="4934B4A2" w14:textId="77777777" w:rsidR="004D3B6D" w:rsidRDefault="003F4555">
            <w:pPr>
              <w:pStyle w:val="normal0"/>
              <w:numPr>
                <w:ilvl w:val="0"/>
                <w:numId w:val="1"/>
              </w:numPr>
              <w:rPr>
                <w:rFonts w:ascii="Muli" w:eastAsia="Muli" w:hAnsi="Muli" w:cs="Muli"/>
                <w:sz w:val="20"/>
                <w:szCs w:val="20"/>
              </w:rPr>
            </w:pPr>
            <w:r>
              <w:rPr>
                <w:rFonts w:ascii="Muli" w:eastAsia="Muli" w:hAnsi="Muli" w:cs="Muli"/>
                <w:sz w:val="20"/>
                <w:szCs w:val="20"/>
              </w:rPr>
              <w:t>Students use their learning to revise their marble runs (DQ3 5 TE pp. 161–161).</w:t>
            </w:r>
          </w:p>
        </w:tc>
        <w:tc>
          <w:tcPr>
            <w:tcW w:w="4425" w:type="dxa"/>
            <w:shd w:val="clear" w:color="auto" w:fill="FFFFFF"/>
            <w:tcMar>
              <w:top w:w="99" w:type="dxa"/>
              <w:left w:w="99" w:type="dxa"/>
              <w:bottom w:w="99" w:type="dxa"/>
              <w:right w:w="99" w:type="dxa"/>
            </w:tcMar>
          </w:tcPr>
          <w:p w14:paraId="06029195" w14:textId="77777777" w:rsidR="004D3B6D" w:rsidRDefault="003F4555">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712FE0E4" wp14:editId="54D36CAF">
                  <wp:extent cx="2676525" cy="1866900"/>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2676525" cy="1866900"/>
                          </a:xfrm>
                          <a:prstGeom prst="rect">
                            <a:avLst/>
                          </a:prstGeom>
                          <a:ln/>
                        </pic:spPr>
                      </pic:pic>
                    </a:graphicData>
                  </a:graphic>
                </wp:inline>
              </w:drawing>
            </w:r>
          </w:p>
          <w:p w14:paraId="2B97B5BB" w14:textId="77777777" w:rsidR="004D3B6D" w:rsidRDefault="003F4555">
            <w:pPr>
              <w:pStyle w:val="normal0"/>
              <w:rPr>
                <w:rFonts w:ascii="Muli" w:eastAsia="Muli" w:hAnsi="Muli" w:cs="Muli"/>
                <w:b/>
                <w:sz w:val="20"/>
                <w:szCs w:val="20"/>
              </w:rPr>
            </w:pPr>
            <w:r>
              <w:rPr>
                <w:rFonts w:ascii="Muli" w:eastAsia="Muli" w:hAnsi="Muli" w:cs="Muli"/>
                <w:b/>
                <w:color w:val="FF126D"/>
                <w:sz w:val="20"/>
                <w:szCs w:val="20"/>
              </w:rPr>
              <w:t>DQ1L1 TB p. 4</w:t>
            </w:r>
          </w:p>
        </w:tc>
      </w:tr>
      <w:tr w:rsidR="004D3B6D" w14:paraId="0D25BCC7" w14:textId="77777777">
        <w:trPr>
          <w:trHeight w:val="720"/>
        </w:trPr>
        <w:tc>
          <w:tcPr>
            <w:tcW w:w="14670" w:type="dxa"/>
            <w:gridSpan w:val="2"/>
            <w:shd w:val="clear" w:color="auto" w:fill="D9D9D9"/>
            <w:tcMar>
              <w:top w:w="99" w:type="dxa"/>
              <w:left w:w="99" w:type="dxa"/>
              <w:bottom w:w="99" w:type="dxa"/>
              <w:right w:w="99" w:type="dxa"/>
            </w:tcMar>
          </w:tcPr>
          <w:p w14:paraId="4D0CFDEF" w14:textId="77777777" w:rsidR="004D3B6D" w:rsidRDefault="003F4555">
            <w:pPr>
              <w:pStyle w:val="normal0"/>
              <w:spacing w:before="1" w:line="242" w:lineRule="auto"/>
              <w:ind w:right="105"/>
              <w:rPr>
                <w:rFonts w:ascii="Muli" w:eastAsia="Muli" w:hAnsi="Muli" w:cs="Muli"/>
                <w:color w:val="2F5496"/>
                <w:sz w:val="20"/>
                <w:szCs w:val="20"/>
              </w:rPr>
            </w:pPr>
            <w:r>
              <w:rPr>
                <w:rFonts w:ascii="Muli" w:eastAsia="Muli" w:hAnsi="Muli" w:cs="Muli"/>
                <w:b/>
                <w:color w:val="2F5496"/>
                <w:sz w:val="20"/>
                <w:szCs w:val="20"/>
              </w:rPr>
              <w:lastRenderedPageBreak/>
              <w:t>SW4. Metacognitive Abilities</w:t>
            </w:r>
            <w:r>
              <w:rPr>
                <w:rFonts w:ascii="Muli" w:eastAsia="Muli" w:hAnsi="Muli" w:cs="Muli"/>
                <w:color w:val="2F5496"/>
                <w:sz w:val="20"/>
                <w:szCs w:val="20"/>
              </w:rPr>
              <w:t>.</w:t>
            </w:r>
          </w:p>
          <w:p w14:paraId="06768DAC" w14:textId="77777777" w:rsidR="004D3B6D" w:rsidRDefault="003F4555">
            <w:pPr>
              <w:pStyle w:val="normal0"/>
              <w:spacing w:before="1"/>
              <w:ind w:right="280"/>
              <w:rPr>
                <w:rFonts w:ascii="Muli" w:eastAsia="Muli" w:hAnsi="Muli" w:cs="Muli"/>
                <w:b/>
                <w:color w:val="2F5496"/>
                <w:sz w:val="20"/>
                <w:szCs w:val="20"/>
              </w:rPr>
            </w:pPr>
            <w:r>
              <w:rPr>
                <w:rFonts w:ascii="Muli" w:eastAsia="Muli" w:hAnsi="Muli" w:cs="Muli"/>
                <w:sz w:val="20"/>
                <w:szCs w:val="20"/>
              </w:rPr>
              <w:t>Marble Run Engineer regularly provides students with explicit opportunities to consider how their learning experiences have changed their thinking.</w:t>
            </w:r>
          </w:p>
        </w:tc>
      </w:tr>
      <w:tr w:rsidR="004D3B6D" w14:paraId="16C1FE00" w14:textId="77777777">
        <w:trPr>
          <w:trHeight w:val="640"/>
        </w:trPr>
        <w:tc>
          <w:tcPr>
            <w:tcW w:w="14670" w:type="dxa"/>
            <w:gridSpan w:val="2"/>
            <w:shd w:val="clear" w:color="auto" w:fill="FFFFFF"/>
            <w:tcMar>
              <w:top w:w="99" w:type="dxa"/>
              <w:left w:w="99" w:type="dxa"/>
              <w:bottom w:w="99" w:type="dxa"/>
              <w:right w:w="99" w:type="dxa"/>
            </w:tcMar>
          </w:tcPr>
          <w:p w14:paraId="7BC7E818" w14:textId="77777777" w:rsidR="004D3B6D" w:rsidRDefault="003F4555">
            <w:pPr>
              <w:pStyle w:val="normal0"/>
              <w:rPr>
                <w:rFonts w:ascii="Muli" w:eastAsia="Muli" w:hAnsi="Muli" w:cs="Muli"/>
                <w:sz w:val="20"/>
                <w:szCs w:val="20"/>
              </w:rPr>
            </w:pPr>
            <w:r>
              <w:rPr>
                <w:rFonts w:ascii="Muli" w:eastAsia="Muli" w:hAnsi="Muli" w:cs="Muli"/>
                <w:sz w:val="20"/>
                <w:szCs w:val="20"/>
              </w:rPr>
              <w:t xml:space="preserve">A diagnostic pre-assessment (Pre-Exploration) in DQ1L1 supports students to think about the three dimensions they are already familiar with, and those they are not. </w:t>
            </w:r>
          </w:p>
          <w:p w14:paraId="3F1FDDB3" w14:textId="77777777" w:rsidR="004D3B6D" w:rsidRDefault="004D3B6D">
            <w:pPr>
              <w:pStyle w:val="normal0"/>
              <w:rPr>
                <w:rFonts w:ascii="Muli" w:eastAsia="Muli" w:hAnsi="Muli" w:cs="Muli"/>
                <w:sz w:val="20"/>
                <w:szCs w:val="20"/>
              </w:rPr>
            </w:pPr>
          </w:p>
          <w:p w14:paraId="4488F4F8" w14:textId="77777777" w:rsidR="004D3B6D" w:rsidRDefault="003F4555">
            <w:pPr>
              <w:pStyle w:val="normal0"/>
              <w:rPr>
                <w:rFonts w:ascii="Muli" w:eastAsia="Muli" w:hAnsi="Muli" w:cs="Muli"/>
                <w:color w:val="FF0000"/>
                <w:sz w:val="20"/>
                <w:szCs w:val="20"/>
              </w:rPr>
            </w:pPr>
            <w:r>
              <w:rPr>
                <w:rFonts w:ascii="Muli" w:eastAsia="Muli" w:hAnsi="Muli" w:cs="Muli"/>
                <w:sz w:val="20"/>
                <w:szCs w:val="20"/>
              </w:rPr>
              <w:t>Meta-Think-Aloud language routines help students develop an understanding of how they lea</w:t>
            </w:r>
            <w:r>
              <w:rPr>
                <w:rFonts w:ascii="Muli" w:eastAsia="Muli" w:hAnsi="Muli" w:cs="Muli"/>
                <w:sz w:val="20"/>
                <w:szCs w:val="20"/>
              </w:rPr>
              <w:t>rn particular concepts or why they approach activities in certain ways.</w:t>
            </w:r>
          </w:p>
          <w:p w14:paraId="552A98DF" w14:textId="77777777" w:rsidR="004D3B6D" w:rsidRDefault="004D3B6D">
            <w:pPr>
              <w:pStyle w:val="normal0"/>
              <w:rPr>
                <w:rFonts w:ascii="Muli" w:eastAsia="Muli" w:hAnsi="Muli" w:cs="Muli"/>
                <w:sz w:val="20"/>
                <w:szCs w:val="20"/>
                <w:shd w:val="clear" w:color="auto" w:fill="EA9999"/>
              </w:rPr>
            </w:pPr>
          </w:p>
          <w:p w14:paraId="5E37877D" w14:textId="77777777" w:rsidR="004D3B6D" w:rsidRDefault="003F4555">
            <w:pPr>
              <w:pStyle w:val="normal0"/>
              <w:rPr>
                <w:rFonts w:ascii="Muli" w:eastAsia="Muli" w:hAnsi="Muli" w:cs="Muli"/>
                <w:sz w:val="20"/>
                <w:szCs w:val="20"/>
              </w:rPr>
            </w:pPr>
            <w:r>
              <w:rPr>
                <w:rFonts w:ascii="Muli" w:eastAsia="Muli" w:hAnsi="Muli" w:cs="Muli"/>
                <w:sz w:val="20"/>
                <w:szCs w:val="20"/>
              </w:rPr>
              <w:t>“I can…” statements written in grade appropriate language are detailed for each Driving Question, supporting student awareness of their growing skills and knowledge and of the three d</w:t>
            </w:r>
            <w:r>
              <w:rPr>
                <w:rFonts w:ascii="Muli" w:eastAsia="Muli" w:hAnsi="Muli" w:cs="Muli"/>
                <w:sz w:val="20"/>
                <w:szCs w:val="20"/>
              </w:rPr>
              <w:t>imensions that they will use to figure out phenomenon/solve problems.</w:t>
            </w:r>
          </w:p>
          <w:p w14:paraId="1355B682" w14:textId="77777777" w:rsidR="004D3B6D" w:rsidRDefault="004D3B6D">
            <w:pPr>
              <w:pStyle w:val="normal0"/>
              <w:rPr>
                <w:rFonts w:ascii="Muli" w:eastAsia="Muli" w:hAnsi="Muli" w:cs="Muli"/>
                <w:sz w:val="20"/>
                <w:szCs w:val="20"/>
              </w:rPr>
            </w:pPr>
          </w:p>
          <w:p w14:paraId="5A474283" w14:textId="77777777" w:rsidR="004D3B6D" w:rsidRDefault="003F4555">
            <w:pPr>
              <w:pStyle w:val="normal0"/>
              <w:ind w:right="105"/>
              <w:rPr>
                <w:rFonts w:ascii="Muli" w:eastAsia="Muli" w:hAnsi="Muli" w:cs="Muli"/>
                <w:sz w:val="20"/>
                <w:szCs w:val="20"/>
              </w:rPr>
            </w:pPr>
            <w:r>
              <w:rPr>
                <w:rFonts w:ascii="Muli" w:eastAsia="Muli" w:hAnsi="Muli" w:cs="Muli"/>
                <w:sz w:val="20"/>
                <w:szCs w:val="20"/>
              </w:rPr>
              <w:t xml:space="preserve">The five-part Twig Science lesson structure has been designed to support students to develop their metacognitive abilities on a daily basis and monitor </w:t>
            </w:r>
            <w:r>
              <w:rPr>
                <w:rFonts w:ascii="Muli" w:eastAsia="Muli" w:hAnsi="Muli" w:cs="Muli"/>
                <w:b/>
                <w:sz w:val="20"/>
                <w:szCs w:val="20"/>
              </w:rPr>
              <w:t xml:space="preserve">what </w:t>
            </w:r>
            <w:r>
              <w:rPr>
                <w:rFonts w:ascii="Muli" w:eastAsia="Muli" w:hAnsi="Muli" w:cs="Muli"/>
                <w:sz w:val="20"/>
                <w:szCs w:val="20"/>
              </w:rPr>
              <w:t xml:space="preserve">and </w:t>
            </w:r>
            <w:r>
              <w:rPr>
                <w:rFonts w:ascii="Muli" w:eastAsia="Muli" w:hAnsi="Muli" w:cs="Muli"/>
                <w:b/>
                <w:sz w:val="20"/>
                <w:szCs w:val="20"/>
              </w:rPr>
              <w:t xml:space="preserve">how </w:t>
            </w:r>
            <w:r>
              <w:rPr>
                <w:rFonts w:ascii="Muli" w:eastAsia="Muli" w:hAnsi="Muli" w:cs="Muli"/>
                <w:sz w:val="20"/>
                <w:szCs w:val="20"/>
              </w:rPr>
              <w:t>they have learned ac</w:t>
            </w:r>
            <w:r>
              <w:rPr>
                <w:rFonts w:ascii="Muli" w:eastAsia="Muli" w:hAnsi="Muli" w:cs="Muli"/>
                <w:sz w:val="20"/>
                <w:szCs w:val="20"/>
              </w:rPr>
              <w:t>ross the three dimensions.</w:t>
            </w:r>
          </w:p>
          <w:p w14:paraId="7ACF78A6" w14:textId="77777777" w:rsidR="004D3B6D" w:rsidRDefault="004D3B6D">
            <w:pPr>
              <w:pStyle w:val="normal0"/>
              <w:ind w:right="105"/>
              <w:rPr>
                <w:rFonts w:ascii="Muli" w:eastAsia="Muli" w:hAnsi="Muli" w:cs="Muli"/>
                <w:sz w:val="20"/>
                <w:szCs w:val="20"/>
              </w:rPr>
            </w:pPr>
          </w:p>
          <w:p w14:paraId="04546913" w14:textId="77777777" w:rsidR="004D3B6D" w:rsidRDefault="003F4555">
            <w:pPr>
              <w:pStyle w:val="normal0"/>
              <w:ind w:right="105"/>
              <w:rPr>
                <w:rFonts w:ascii="Muli" w:eastAsia="Muli" w:hAnsi="Muli" w:cs="Muli"/>
                <w:sz w:val="20"/>
                <w:szCs w:val="20"/>
              </w:rPr>
            </w:pPr>
            <w:r>
              <w:rPr>
                <w:rFonts w:ascii="Muli" w:eastAsia="Muli" w:hAnsi="Muli" w:cs="Muli"/>
                <w:b/>
                <w:sz w:val="20"/>
                <w:szCs w:val="20"/>
              </w:rPr>
              <w:t>Spark</w:t>
            </w:r>
            <w:r>
              <w:rPr>
                <w:rFonts w:ascii="Muli" w:eastAsia="Muli" w:hAnsi="Muli" w:cs="Muli"/>
                <w:sz w:val="20"/>
                <w:szCs w:val="20"/>
              </w:rPr>
              <w:t>: An engaging hook activity motivates students for the investigations ahead.</w:t>
            </w:r>
          </w:p>
          <w:p w14:paraId="354FBF9E" w14:textId="77777777" w:rsidR="004D3B6D" w:rsidRDefault="003F4555">
            <w:pPr>
              <w:pStyle w:val="normal0"/>
              <w:ind w:right="105"/>
              <w:rPr>
                <w:rFonts w:ascii="Muli" w:eastAsia="Muli" w:hAnsi="Muli" w:cs="Muli"/>
                <w:sz w:val="20"/>
                <w:szCs w:val="20"/>
              </w:rPr>
            </w:pPr>
            <w:r>
              <w:rPr>
                <w:rFonts w:ascii="Muli" w:eastAsia="Muli" w:hAnsi="Muli" w:cs="Muli"/>
                <w:b/>
                <w:sz w:val="20"/>
                <w:szCs w:val="20"/>
              </w:rPr>
              <w:t>Investigate:</w:t>
            </w:r>
            <w:r>
              <w:rPr>
                <w:rFonts w:ascii="Muli" w:eastAsia="Muli" w:hAnsi="Muli" w:cs="Muli"/>
                <w:sz w:val="20"/>
                <w:szCs w:val="20"/>
              </w:rPr>
              <w:t xml:space="preserve"> Students think like scientists and design like engineers through hands-on, digital, video, and informational text investigations. </w:t>
            </w:r>
          </w:p>
          <w:p w14:paraId="4F76CF56" w14:textId="77777777" w:rsidR="004D3B6D" w:rsidRDefault="003F4555">
            <w:pPr>
              <w:pStyle w:val="normal0"/>
              <w:ind w:right="105"/>
              <w:rPr>
                <w:rFonts w:ascii="Muli" w:eastAsia="Muli" w:hAnsi="Muli" w:cs="Muli"/>
                <w:sz w:val="20"/>
                <w:szCs w:val="20"/>
              </w:rPr>
            </w:pPr>
            <w:r>
              <w:rPr>
                <w:rFonts w:ascii="Muli" w:eastAsia="Muli" w:hAnsi="Muli" w:cs="Muli"/>
                <w:b/>
                <w:sz w:val="20"/>
                <w:szCs w:val="20"/>
              </w:rPr>
              <w:t>Report:</w:t>
            </w:r>
            <w:r>
              <w:rPr>
                <w:rFonts w:ascii="Muli" w:eastAsia="Muli" w:hAnsi="Muli" w:cs="Muli"/>
                <w:sz w:val="20"/>
                <w:szCs w:val="20"/>
              </w:rPr>
              <w:t xml:space="preserve"> Students articulate what they’ve learned today citing evidence and their use of the three dimensions.</w:t>
            </w:r>
          </w:p>
          <w:p w14:paraId="1BFD0643" w14:textId="77777777" w:rsidR="004D3B6D" w:rsidRDefault="003F4555">
            <w:pPr>
              <w:pStyle w:val="normal0"/>
              <w:ind w:right="105"/>
              <w:rPr>
                <w:rFonts w:ascii="Muli" w:eastAsia="Muli" w:hAnsi="Muli" w:cs="Muli"/>
                <w:sz w:val="20"/>
                <w:szCs w:val="20"/>
              </w:rPr>
            </w:pPr>
            <w:r>
              <w:rPr>
                <w:rFonts w:ascii="Muli" w:eastAsia="Muli" w:hAnsi="Muli" w:cs="Muli"/>
                <w:b/>
                <w:sz w:val="20"/>
                <w:szCs w:val="20"/>
              </w:rPr>
              <w:t>Connect:</w:t>
            </w:r>
            <w:r>
              <w:rPr>
                <w:rFonts w:ascii="Muli" w:eastAsia="Muli" w:hAnsi="Muli" w:cs="Muli"/>
                <w:sz w:val="20"/>
                <w:szCs w:val="20"/>
              </w:rPr>
              <w:t xml:space="preserve"> Students make connections to the Driving Questions and Module Phenomenon while building knowledge of CCCs and SEPs.</w:t>
            </w:r>
          </w:p>
          <w:p w14:paraId="54E60105" w14:textId="77777777" w:rsidR="004D3B6D" w:rsidRDefault="003F4555">
            <w:pPr>
              <w:pStyle w:val="normal0"/>
              <w:ind w:right="105"/>
              <w:rPr>
                <w:rFonts w:ascii="Muli" w:eastAsia="Muli" w:hAnsi="Muli" w:cs="Muli"/>
                <w:b/>
                <w:color w:val="2F5496"/>
                <w:sz w:val="20"/>
                <w:szCs w:val="20"/>
              </w:rPr>
            </w:pPr>
            <w:r>
              <w:rPr>
                <w:rFonts w:ascii="Muli" w:eastAsia="Muli" w:hAnsi="Muli" w:cs="Muli"/>
                <w:b/>
                <w:sz w:val="20"/>
                <w:szCs w:val="20"/>
              </w:rPr>
              <w:t>Reflect:</w:t>
            </w:r>
            <w:r>
              <w:rPr>
                <w:rFonts w:ascii="Muli" w:eastAsia="Muli" w:hAnsi="Muli" w:cs="Muli"/>
                <w:sz w:val="20"/>
                <w:szCs w:val="20"/>
              </w:rPr>
              <w:t xml:space="preserve"> Here student</w:t>
            </w:r>
            <w:r>
              <w:rPr>
                <w:rFonts w:ascii="Muli" w:eastAsia="Muli" w:hAnsi="Muli" w:cs="Muli"/>
                <w:sz w:val="20"/>
                <w:szCs w:val="20"/>
              </w:rPr>
              <w:t>s use different means to think about what they have learned so far and how they can use their new understandings to better figure out phenomena/problems.</w:t>
            </w:r>
          </w:p>
        </w:tc>
      </w:tr>
      <w:tr w:rsidR="004D3B6D" w14:paraId="656C0B1B" w14:textId="77777777">
        <w:trPr>
          <w:trHeight w:val="2520"/>
        </w:trPr>
        <w:tc>
          <w:tcPr>
            <w:tcW w:w="10245" w:type="dxa"/>
            <w:shd w:val="clear" w:color="auto" w:fill="FFFFFF"/>
            <w:tcMar>
              <w:top w:w="99" w:type="dxa"/>
              <w:left w:w="99" w:type="dxa"/>
              <w:bottom w:w="99" w:type="dxa"/>
              <w:right w:w="99" w:type="dxa"/>
            </w:tcMar>
          </w:tcPr>
          <w:p w14:paraId="2B3A1008" w14:textId="77777777" w:rsidR="004D3B6D" w:rsidRDefault="003F4555">
            <w:pPr>
              <w:pStyle w:val="normal0"/>
              <w:rPr>
                <w:rFonts w:ascii="Muli" w:eastAsia="Muli" w:hAnsi="Muli" w:cs="Muli"/>
                <w:b/>
                <w:color w:val="FF126D"/>
                <w:sz w:val="20"/>
                <w:szCs w:val="20"/>
              </w:rPr>
            </w:pPr>
            <w:r>
              <w:rPr>
                <w:rFonts w:ascii="Muli" w:eastAsia="Muli" w:hAnsi="Muli" w:cs="Muli"/>
                <w:b/>
                <w:color w:val="FF126D"/>
                <w:sz w:val="20"/>
                <w:szCs w:val="20"/>
              </w:rPr>
              <w:t>Evidence</w:t>
            </w:r>
          </w:p>
          <w:p w14:paraId="6D85C810" w14:textId="77777777" w:rsidR="004D3B6D" w:rsidRDefault="003F4555">
            <w:pPr>
              <w:pStyle w:val="normal0"/>
              <w:numPr>
                <w:ilvl w:val="0"/>
                <w:numId w:val="11"/>
              </w:numPr>
              <w:rPr>
                <w:rFonts w:ascii="Muli" w:eastAsia="Muli" w:hAnsi="Muli" w:cs="Muli"/>
                <w:sz w:val="20"/>
                <w:szCs w:val="20"/>
              </w:rPr>
            </w:pPr>
            <w:r>
              <w:rPr>
                <w:rFonts w:ascii="Muli" w:eastAsia="Muli" w:hAnsi="Muli" w:cs="Muli"/>
                <w:sz w:val="20"/>
                <w:szCs w:val="20"/>
              </w:rPr>
              <w:t xml:space="preserve">Students consider what they have learned so far, and write or draw to complete a sentence that partly answers the Module Phenomenon </w:t>
            </w:r>
            <w:r>
              <w:rPr>
                <w:rFonts w:ascii="Muli" w:eastAsia="Muli" w:hAnsi="Muli" w:cs="Muli"/>
                <w:b/>
                <w:color w:val="FF126D"/>
                <w:sz w:val="20"/>
                <w:szCs w:val="20"/>
              </w:rPr>
              <w:t>(DQ1L5 TB p. 14)</w:t>
            </w:r>
            <w:r>
              <w:rPr>
                <w:rFonts w:ascii="Muli" w:eastAsia="Muli" w:hAnsi="Muli" w:cs="Muli"/>
                <w:sz w:val="20"/>
                <w:szCs w:val="20"/>
              </w:rPr>
              <w:t>.</w:t>
            </w:r>
          </w:p>
        </w:tc>
        <w:tc>
          <w:tcPr>
            <w:tcW w:w="4425" w:type="dxa"/>
            <w:shd w:val="clear" w:color="auto" w:fill="FFFFFF"/>
            <w:tcMar>
              <w:top w:w="99" w:type="dxa"/>
              <w:left w:w="99" w:type="dxa"/>
              <w:bottom w:w="99" w:type="dxa"/>
              <w:right w:w="99" w:type="dxa"/>
            </w:tcMar>
          </w:tcPr>
          <w:p w14:paraId="405900C1" w14:textId="77777777" w:rsidR="004D3B6D" w:rsidRDefault="003F4555">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4DFD581B" wp14:editId="0B29D82E">
                  <wp:extent cx="2676525" cy="1257300"/>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2676525" cy="1257300"/>
                          </a:xfrm>
                          <a:prstGeom prst="rect">
                            <a:avLst/>
                          </a:prstGeom>
                          <a:ln/>
                        </pic:spPr>
                      </pic:pic>
                    </a:graphicData>
                  </a:graphic>
                </wp:inline>
              </w:drawing>
            </w:r>
          </w:p>
          <w:p w14:paraId="317EB82B" w14:textId="77777777" w:rsidR="004D3B6D" w:rsidRDefault="003F4555">
            <w:pPr>
              <w:pStyle w:val="normal0"/>
              <w:rPr>
                <w:rFonts w:ascii="Muli" w:eastAsia="Muli" w:hAnsi="Muli" w:cs="Muli"/>
                <w:b/>
                <w:sz w:val="20"/>
                <w:szCs w:val="20"/>
              </w:rPr>
            </w:pPr>
            <w:r>
              <w:rPr>
                <w:rFonts w:ascii="Muli" w:eastAsia="Muli" w:hAnsi="Muli" w:cs="Muli"/>
                <w:b/>
                <w:color w:val="FF126D"/>
                <w:sz w:val="20"/>
                <w:szCs w:val="20"/>
              </w:rPr>
              <w:t>DQ1L5 TB p. 14</w:t>
            </w:r>
          </w:p>
        </w:tc>
      </w:tr>
      <w:tr w:rsidR="004D3B6D" w14:paraId="3F70511C" w14:textId="77777777">
        <w:trPr>
          <w:trHeight w:val="3080"/>
        </w:trPr>
        <w:tc>
          <w:tcPr>
            <w:tcW w:w="10245" w:type="dxa"/>
            <w:shd w:val="clear" w:color="auto" w:fill="FFFFFF"/>
            <w:tcMar>
              <w:top w:w="99" w:type="dxa"/>
              <w:left w:w="99" w:type="dxa"/>
              <w:bottom w:w="99" w:type="dxa"/>
              <w:right w:w="99" w:type="dxa"/>
            </w:tcMar>
          </w:tcPr>
          <w:p w14:paraId="7CF30191" w14:textId="77777777" w:rsidR="004D3B6D" w:rsidRDefault="003F4555">
            <w:pPr>
              <w:pStyle w:val="normal0"/>
              <w:numPr>
                <w:ilvl w:val="0"/>
                <w:numId w:val="11"/>
              </w:numPr>
              <w:rPr>
                <w:rFonts w:ascii="Muli" w:eastAsia="Muli" w:hAnsi="Muli" w:cs="Muli"/>
                <w:sz w:val="20"/>
                <w:szCs w:val="20"/>
              </w:rPr>
            </w:pPr>
            <w:r>
              <w:rPr>
                <w:rFonts w:ascii="Muli" w:eastAsia="Muli" w:hAnsi="Muli" w:cs="Muli"/>
                <w:sz w:val="20"/>
                <w:szCs w:val="20"/>
              </w:rPr>
              <w:lastRenderedPageBreak/>
              <w:t xml:space="preserve">The teacher uses a </w:t>
            </w:r>
            <w:r>
              <w:rPr>
                <w:rFonts w:ascii="Muli" w:eastAsia="Muli" w:hAnsi="Muli" w:cs="Muli"/>
                <w:b/>
                <w:color w:val="FF126D"/>
                <w:sz w:val="20"/>
                <w:szCs w:val="20"/>
              </w:rPr>
              <w:t>Meta-Think-Aloud (DQ1L6 TE p. 45)</w:t>
            </w:r>
            <w:r>
              <w:rPr>
                <w:rFonts w:ascii="Muli" w:eastAsia="Muli" w:hAnsi="Muli" w:cs="Muli"/>
                <w:sz w:val="20"/>
                <w:szCs w:val="20"/>
              </w:rPr>
              <w:t xml:space="preserve"> to show how the Change Direction vi</w:t>
            </w:r>
            <w:r>
              <w:rPr>
                <w:rFonts w:ascii="Muli" w:eastAsia="Muli" w:hAnsi="Muli" w:cs="Muli"/>
                <w:sz w:val="20"/>
                <w:szCs w:val="20"/>
              </w:rPr>
              <w:t>sual might be analyzed, explicitly pointing out key aspects of the image and their significance.</w:t>
            </w:r>
          </w:p>
        </w:tc>
        <w:tc>
          <w:tcPr>
            <w:tcW w:w="4425" w:type="dxa"/>
            <w:shd w:val="clear" w:color="auto" w:fill="FFFFFF"/>
            <w:tcMar>
              <w:top w:w="99" w:type="dxa"/>
              <w:left w:w="99" w:type="dxa"/>
              <w:bottom w:w="99" w:type="dxa"/>
              <w:right w:w="99" w:type="dxa"/>
            </w:tcMar>
          </w:tcPr>
          <w:p w14:paraId="1190140F" w14:textId="77777777" w:rsidR="004D3B6D" w:rsidRDefault="003F4555">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F57246A" wp14:editId="2D1CF031">
                  <wp:extent cx="2676525" cy="14986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103" r="103"/>
                          <a:stretch>
                            <a:fillRect/>
                          </a:stretch>
                        </pic:blipFill>
                        <pic:spPr>
                          <a:xfrm>
                            <a:off x="0" y="0"/>
                            <a:ext cx="2676525" cy="1498600"/>
                          </a:xfrm>
                          <a:prstGeom prst="rect">
                            <a:avLst/>
                          </a:prstGeom>
                          <a:ln/>
                        </pic:spPr>
                      </pic:pic>
                    </a:graphicData>
                  </a:graphic>
                </wp:inline>
              </w:drawing>
            </w:r>
          </w:p>
          <w:p w14:paraId="5F5E4B01" w14:textId="77777777" w:rsidR="004D3B6D" w:rsidRDefault="003F4555">
            <w:pPr>
              <w:pStyle w:val="normal0"/>
              <w:rPr>
                <w:rFonts w:ascii="Muli" w:eastAsia="Muli" w:hAnsi="Muli" w:cs="Muli"/>
                <w:b/>
                <w:color w:val="FF126D"/>
                <w:sz w:val="20"/>
                <w:szCs w:val="20"/>
              </w:rPr>
            </w:pPr>
            <w:r>
              <w:rPr>
                <w:rFonts w:ascii="Muli" w:eastAsia="Muli" w:hAnsi="Muli" w:cs="Muli"/>
                <w:b/>
                <w:color w:val="FF126D"/>
                <w:sz w:val="20"/>
                <w:szCs w:val="20"/>
              </w:rPr>
              <w:t>Meta-Think-Aloud (DQ1L6 TE p. 45)</w:t>
            </w:r>
          </w:p>
        </w:tc>
      </w:tr>
      <w:tr w:rsidR="004D3B6D" w14:paraId="3348D94B" w14:textId="77777777">
        <w:trPr>
          <w:trHeight w:val="3080"/>
        </w:trPr>
        <w:tc>
          <w:tcPr>
            <w:tcW w:w="10245" w:type="dxa"/>
            <w:shd w:val="clear" w:color="auto" w:fill="FFFFFF"/>
            <w:tcMar>
              <w:top w:w="99" w:type="dxa"/>
              <w:left w:w="99" w:type="dxa"/>
              <w:bottom w:w="99" w:type="dxa"/>
              <w:right w:w="99" w:type="dxa"/>
            </w:tcMar>
          </w:tcPr>
          <w:p w14:paraId="52E480A7" w14:textId="77777777" w:rsidR="004D3B6D" w:rsidRDefault="003F4555">
            <w:pPr>
              <w:pStyle w:val="normal0"/>
              <w:numPr>
                <w:ilvl w:val="0"/>
                <w:numId w:val="11"/>
              </w:numPr>
              <w:rPr>
                <w:rFonts w:ascii="Muli" w:eastAsia="Muli" w:hAnsi="Muli" w:cs="Muli"/>
                <w:sz w:val="20"/>
                <w:szCs w:val="20"/>
              </w:rPr>
            </w:pPr>
            <w:r>
              <w:rPr>
                <w:rFonts w:ascii="Muli" w:eastAsia="Muli" w:hAnsi="Muli" w:cs="Muli"/>
                <w:sz w:val="20"/>
                <w:szCs w:val="20"/>
              </w:rPr>
              <w:t xml:space="preserve">Students reflect on different ideas the class came up with for using a Score 10 Tool and a marble, and write or draw which idea they think is best and why </w:t>
            </w:r>
            <w:r>
              <w:rPr>
                <w:rFonts w:ascii="Muli" w:eastAsia="Muli" w:hAnsi="Muli" w:cs="Muli"/>
                <w:b/>
                <w:color w:val="FF126D"/>
                <w:sz w:val="20"/>
                <w:szCs w:val="20"/>
              </w:rPr>
              <w:t>(DQ2L1 TE p. 89)</w:t>
            </w:r>
            <w:r>
              <w:rPr>
                <w:rFonts w:ascii="Muli" w:eastAsia="Muli" w:hAnsi="Muli" w:cs="Muli"/>
                <w:sz w:val="20"/>
                <w:szCs w:val="20"/>
              </w:rPr>
              <w:t>.</w:t>
            </w:r>
          </w:p>
          <w:p w14:paraId="23286C93" w14:textId="77777777" w:rsidR="004D3B6D" w:rsidRDefault="003F4555">
            <w:pPr>
              <w:pStyle w:val="normal0"/>
              <w:numPr>
                <w:ilvl w:val="0"/>
                <w:numId w:val="11"/>
              </w:numPr>
              <w:rPr>
                <w:rFonts w:ascii="Muli" w:eastAsia="Muli" w:hAnsi="Muli" w:cs="Muli"/>
                <w:sz w:val="20"/>
                <w:szCs w:val="20"/>
              </w:rPr>
            </w:pPr>
            <w:r>
              <w:rPr>
                <w:rFonts w:ascii="Muli" w:eastAsia="Muli" w:hAnsi="Muli" w:cs="Muli"/>
                <w:sz w:val="20"/>
                <w:szCs w:val="20"/>
              </w:rPr>
              <w:t>Students reflect on what they learned during a marble game and what useful informat</w:t>
            </w:r>
            <w:r>
              <w:rPr>
                <w:rFonts w:ascii="Muli" w:eastAsia="Muli" w:hAnsi="Muli" w:cs="Muli"/>
                <w:sz w:val="20"/>
                <w:szCs w:val="20"/>
              </w:rPr>
              <w:t xml:space="preserve">ion they could give someone who wanted to play the game </w:t>
            </w:r>
            <w:r>
              <w:rPr>
                <w:rFonts w:ascii="Muli" w:eastAsia="Muli" w:hAnsi="Muli" w:cs="Muli"/>
                <w:b/>
                <w:color w:val="FF126D"/>
                <w:sz w:val="20"/>
                <w:szCs w:val="20"/>
              </w:rPr>
              <w:t>(DQ2L2 TB p. 35)</w:t>
            </w:r>
            <w:r>
              <w:rPr>
                <w:rFonts w:ascii="Muli" w:eastAsia="Muli" w:hAnsi="Muli" w:cs="Muli"/>
                <w:sz w:val="20"/>
                <w:szCs w:val="20"/>
              </w:rPr>
              <w:t>.</w:t>
            </w:r>
          </w:p>
          <w:p w14:paraId="60D9F813" w14:textId="77777777" w:rsidR="004D3B6D" w:rsidRDefault="004D3B6D">
            <w:pPr>
              <w:pStyle w:val="normal0"/>
              <w:ind w:left="720"/>
              <w:rPr>
                <w:rFonts w:ascii="Muli" w:eastAsia="Muli" w:hAnsi="Muli" w:cs="Muli"/>
                <w:sz w:val="20"/>
                <w:szCs w:val="20"/>
              </w:rPr>
            </w:pPr>
          </w:p>
          <w:p w14:paraId="250EE558" w14:textId="77777777" w:rsidR="004D3B6D" w:rsidRDefault="004D3B6D">
            <w:pPr>
              <w:pStyle w:val="normal0"/>
              <w:ind w:left="720" w:hanging="360"/>
              <w:rPr>
                <w:rFonts w:ascii="Muli" w:eastAsia="Muli" w:hAnsi="Muli" w:cs="Muli"/>
                <w:sz w:val="20"/>
                <w:szCs w:val="20"/>
              </w:rPr>
            </w:pPr>
          </w:p>
        </w:tc>
        <w:tc>
          <w:tcPr>
            <w:tcW w:w="4425" w:type="dxa"/>
            <w:shd w:val="clear" w:color="auto" w:fill="FFFFFF"/>
            <w:tcMar>
              <w:top w:w="99" w:type="dxa"/>
              <w:left w:w="99" w:type="dxa"/>
              <w:bottom w:w="99" w:type="dxa"/>
              <w:right w:w="99" w:type="dxa"/>
            </w:tcMar>
          </w:tcPr>
          <w:p w14:paraId="47811EC9" w14:textId="77777777" w:rsidR="004D3B6D" w:rsidRDefault="003F4555">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4A37610A" wp14:editId="4992A349">
                  <wp:extent cx="2676525" cy="16383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b="16908"/>
                          <a:stretch>
                            <a:fillRect/>
                          </a:stretch>
                        </pic:blipFill>
                        <pic:spPr>
                          <a:xfrm>
                            <a:off x="0" y="0"/>
                            <a:ext cx="2676525" cy="1638300"/>
                          </a:xfrm>
                          <a:prstGeom prst="rect">
                            <a:avLst/>
                          </a:prstGeom>
                          <a:ln/>
                        </pic:spPr>
                      </pic:pic>
                    </a:graphicData>
                  </a:graphic>
                </wp:inline>
              </w:drawing>
            </w:r>
          </w:p>
          <w:p w14:paraId="3F86D93D" w14:textId="77777777" w:rsidR="004D3B6D" w:rsidRDefault="003F4555">
            <w:pPr>
              <w:pStyle w:val="normal0"/>
              <w:rPr>
                <w:rFonts w:ascii="Muli" w:eastAsia="Muli" w:hAnsi="Muli" w:cs="Muli"/>
                <w:b/>
                <w:color w:val="FF126D"/>
                <w:sz w:val="20"/>
                <w:szCs w:val="20"/>
              </w:rPr>
            </w:pPr>
            <w:r>
              <w:rPr>
                <w:rFonts w:ascii="Muli" w:eastAsia="Muli" w:hAnsi="Muli" w:cs="Muli"/>
                <w:b/>
                <w:color w:val="FF126D"/>
                <w:sz w:val="20"/>
                <w:szCs w:val="20"/>
              </w:rPr>
              <w:t>DQ2L1 Reflect TE p. 89</w:t>
            </w:r>
          </w:p>
        </w:tc>
      </w:tr>
      <w:tr w:rsidR="004D3B6D" w14:paraId="7E494024" w14:textId="77777777">
        <w:trPr>
          <w:trHeight w:val="3080"/>
        </w:trPr>
        <w:tc>
          <w:tcPr>
            <w:tcW w:w="10245" w:type="dxa"/>
            <w:shd w:val="clear" w:color="auto" w:fill="FFFFFF"/>
            <w:tcMar>
              <w:top w:w="99" w:type="dxa"/>
              <w:left w:w="99" w:type="dxa"/>
              <w:bottom w:w="99" w:type="dxa"/>
              <w:right w:w="99" w:type="dxa"/>
            </w:tcMar>
          </w:tcPr>
          <w:p w14:paraId="0CC4EDD0" w14:textId="77777777" w:rsidR="004D3B6D" w:rsidRDefault="003F4555">
            <w:pPr>
              <w:pStyle w:val="normal0"/>
              <w:numPr>
                <w:ilvl w:val="0"/>
                <w:numId w:val="11"/>
              </w:numPr>
              <w:contextualSpacing/>
              <w:rPr>
                <w:rFonts w:ascii="Muli" w:eastAsia="Muli" w:hAnsi="Muli" w:cs="Muli"/>
                <w:sz w:val="20"/>
                <w:szCs w:val="20"/>
              </w:rPr>
            </w:pPr>
            <w:r>
              <w:rPr>
                <w:rFonts w:ascii="Muli" w:eastAsia="Muli" w:hAnsi="Muli" w:cs="Muli"/>
                <w:sz w:val="20"/>
                <w:szCs w:val="20"/>
              </w:rPr>
              <w:t xml:space="preserve">The </w:t>
            </w:r>
            <w:r>
              <w:rPr>
                <w:rFonts w:ascii="Muli" w:eastAsia="Muli" w:hAnsi="Muli" w:cs="Muli"/>
                <w:b/>
                <w:color w:val="FF126D"/>
                <w:sz w:val="20"/>
                <w:szCs w:val="20"/>
              </w:rPr>
              <w:t xml:space="preserve">“I can…” statements (DQ3 TB p. 48) </w:t>
            </w:r>
            <w:r>
              <w:rPr>
                <w:rFonts w:ascii="Muli" w:eastAsia="Muli" w:hAnsi="Muli" w:cs="Muli"/>
                <w:sz w:val="20"/>
                <w:szCs w:val="20"/>
              </w:rPr>
              <w:t>details use of the three dimensions students will use in this Driving Question. “I can... use a design to build a m</w:t>
            </w:r>
            <w:r>
              <w:rPr>
                <w:rFonts w:ascii="Muli" w:eastAsia="Muli" w:hAnsi="Muli" w:cs="Muli"/>
                <w:sz w:val="20"/>
                <w:szCs w:val="20"/>
              </w:rPr>
              <w:t>arble run.”</w:t>
            </w:r>
          </w:p>
          <w:p w14:paraId="79E3F6B0" w14:textId="77777777" w:rsidR="004D3B6D" w:rsidRDefault="003F4555">
            <w:pPr>
              <w:pStyle w:val="normal0"/>
              <w:numPr>
                <w:ilvl w:val="0"/>
                <w:numId w:val="11"/>
              </w:numPr>
              <w:contextualSpacing/>
              <w:rPr>
                <w:rFonts w:ascii="Muli" w:eastAsia="Muli" w:hAnsi="Muli" w:cs="Muli"/>
                <w:sz w:val="20"/>
                <w:szCs w:val="20"/>
              </w:rPr>
            </w:pPr>
            <w:r>
              <w:rPr>
                <w:rFonts w:ascii="Muli" w:eastAsia="Muli" w:hAnsi="Muli" w:cs="Muli"/>
                <w:sz w:val="20"/>
                <w:szCs w:val="20"/>
              </w:rPr>
              <w:t xml:space="preserve">Students reflect on what they have learned during their Engineering Design Challenge </w:t>
            </w:r>
            <w:r>
              <w:rPr>
                <w:rFonts w:ascii="Muli" w:eastAsia="Muli" w:hAnsi="Muli" w:cs="Muli"/>
                <w:b/>
                <w:color w:val="FF126D"/>
                <w:sz w:val="20"/>
                <w:szCs w:val="20"/>
              </w:rPr>
              <w:t>(DQ3L5 TB p. 66)</w:t>
            </w:r>
            <w:r>
              <w:rPr>
                <w:rFonts w:ascii="Muli" w:eastAsia="Muli" w:hAnsi="Muli" w:cs="Muli"/>
                <w:sz w:val="20"/>
                <w:szCs w:val="20"/>
              </w:rPr>
              <w:t>.</w:t>
            </w:r>
          </w:p>
        </w:tc>
        <w:tc>
          <w:tcPr>
            <w:tcW w:w="4425" w:type="dxa"/>
            <w:shd w:val="clear" w:color="auto" w:fill="FFFFFF"/>
            <w:tcMar>
              <w:top w:w="99" w:type="dxa"/>
              <w:left w:w="99" w:type="dxa"/>
              <w:bottom w:w="99" w:type="dxa"/>
              <w:right w:w="99" w:type="dxa"/>
            </w:tcMar>
          </w:tcPr>
          <w:p w14:paraId="397BABA2" w14:textId="77777777" w:rsidR="004D3B6D" w:rsidRDefault="003F4555">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98EFB84" wp14:editId="1D53C22F">
                  <wp:extent cx="1852613" cy="2044550"/>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b="2492"/>
                          <a:stretch>
                            <a:fillRect/>
                          </a:stretch>
                        </pic:blipFill>
                        <pic:spPr>
                          <a:xfrm>
                            <a:off x="0" y="0"/>
                            <a:ext cx="1852613" cy="2044550"/>
                          </a:xfrm>
                          <a:prstGeom prst="rect">
                            <a:avLst/>
                          </a:prstGeom>
                          <a:ln/>
                        </pic:spPr>
                      </pic:pic>
                    </a:graphicData>
                  </a:graphic>
                </wp:inline>
              </w:drawing>
            </w:r>
          </w:p>
          <w:p w14:paraId="58743CB1" w14:textId="77777777" w:rsidR="004D3B6D" w:rsidRDefault="003F4555">
            <w:pPr>
              <w:pStyle w:val="normal0"/>
              <w:rPr>
                <w:rFonts w:ascii="Muli" w:eastAsia="Muli" w:hAnsi="Muli" w:cs="Muli"/>
                <w:b/>
                <w:color w:val="FF126D"/>
                <w:sz w:val="20"/>
                <w:szCs w:val="20"/>
              </w:rPr>
            </w:pPr>
            <w:r>
              <w:rPr>
                <w:rFonts w:ascii="Muli" w:eastAsia="Muli" w:hAnsi="Muli" w:cs="Muli"/>
                <w:b/>
                <w:color w:val="FF126D"/>
                <w:sz w:val="20"/>
                <w:szCs w:val="20"/>
              </w:rPr>
              <w:t>“I can…” statements (DQ3 TB p. 48)</w:t>
            </w:r>
          </w:p>
        </w:tc>
      </w:tr>
      <w:tr w:rsidR="004D3B6D" w14:paraId="7A5DBE4F" w14:textId="77777777">
        <w:trPr>
          <w:trHeight w:val="640"/>
        </w:trPr>
        <w:tc>
          <w:tcPr>
            <w:tcW w:w="14670" w:type="dxa"/>
            <w:gridSpan w:val="2"/>
            <w:shd w:val="clear" w:color="auto" w:fill="D9D9D9"/>
            <w:tcMar>
              <w:top w:w="99" w:type="dxa"/>
              <w:left w:w="99" w:type="dxa"/>
              <w:bottom w:w="99" w:type="dxa"/>
              <w:right w:w="99" w:type="dxa"/>
            </w:tcMar>
          </w:tcPr>
          <w:p w14:paraId="5B2EB038" w14:textId="77777777" w:rsidR="004D3B6D" w:rsidRDefault="003F4555">
            <w:pPr>
              <w:pStyle w:val="normal0"/>
              <w:spacing w:before="1"/>
              <w:ind w:right="105"/>
              <w:rPr>
                <w:rFonts w:ascii="Muli" w:eastAsia="Muli" w:hAnsi="Muli" w:cs="Muli"/>
                <w:b/>
                <w:color w:val="2F5496"/>
                <w:sz w:val="20"/>
                <w:szCs w:val="20"/>
              </w:rPr>
            </w:pPr>
            <w:r>
              <w:rPr>
                <w:rFonts w:ascii="Muli" w:eastAsia="Muli" w:hAnsi="Muli" w:cs="Muli"/>
                <w:b/>
                <w:color w:val="2F5496"/>
                <w:sz w:val="20"/>
                <w:szCs w:val="20"/>
              </w:rPr>
              <w:lastRenderedPageBreak/>
              <w:t>SW5. Equitable Learning Opportunities.</w:t>
            </w:r>
          </w:p>
          <w:p w14:paraId="292B3A06" w14:textId="77777777" w:rsidR="004D3B6D" w:rsidRDefault="003F4555">
            <w:pPr>
              <w:pStyle w:val="normal0"/>
              <w:rPr>
                <w:rFonts w:ascii="Muli" w:eastAsia="Muli" w:hAnsi="Muli" w:cs="Muli"/>
                <w:b/>
                <w:color w:val="2F5496"/>
                <w:sz w:val="20"/>
                <w:szCs w:val="20"/>
              </w:rPr>
            </w:pPr>
            <w:r>
              <w:rPr>
                <w:rFonts w:ascii="Muli" w:eastAsia="Muli" w:hAnsi="Muli" w:cs="Muli"/>
                <w:sz w:val="20"/>
                <w:szCs w:val="20"/>
              </w:rPr>
              <w:t>Most learning experiences across Marble Run Engineer are multimodal in approach with numerous cross curricular connections, designed to engage students meaningfully in a variety of ways, with multiple access points, and with supports for students.</w:t>
            </w:r>
          </w:p>
        </w:tc>
      </w:tr>
      <w:tr w:rsidR="004D3B6D" w14:paraId="7332E97E" w14:textId="77777777">
        <w:trPr>
          <w:trHeight w:val="4440"/>
        </w:trPr>
        <w:tc>
          <w:tcPr>
            <w:tcW w:w="14670" w:type="dxa"/>
            <w:gridSpan w:val="2"/>
            <w:tcMar>
              <w:top w:w="99" w:type="dxa"/>
              <w:left w:w="99" w:type="dxa"/>
              <w:bottom w:w="99" w:type="dxa"/>
              <w:right w:w="99" w:type="dxa"/>
            </w:tcMar>
          </w:tcPr>
          <w:p w14:paraId="795ADD7F" w14:textId="77777777" w:rsidR="004D3B6D" w:rsidRDefault="003F4555">
            <w:pPr>
              <w:pStyle w:val="normal0"/>
              <w:rPr>
                <w:rFonts w:ascii="Muli" w:eastAsia="Muli" w:hAnsi="Muli" w:cs="Muli"/>
                <w:sz w:val="20"/>
                <w:szCs w:val="20"/>
              </w:rPr>
            </w:pPr>
            <w:r>
              <w:rPr>
                <w:rFonts w:ascii="Muli" w:eastAsia="Muli" w:hAnsi="Muli" w:cs="Muli"/>
                <w:sz w:val="20"/>
                <w:szCs w:val="20"/>
              </w:rPr>
              <w:t>The lea</w:t>
            </w:r>
            <w:r>
              <w:rPr>
                <w:rFonts w:ascii="Muli" w:eastAsia="Muli" w:hAnsi="Muli" w:cs="Muli"/>
                <w:sz w:val="20"/>
                <w:szCs w:val="20"/>
              </w:rPr>
              <w:t>rning experiences in the module are designed to appeal to students of all learning styles and abilities and include tasks in all domains—writing, reading, listening (read-alouds and videos), speaking (discussion and presentations), drawing, and hands-on in</w:t>
            </w:r>
            <w:r>
              <w:rPr>
                <w:rFonts w:ascii="Muli" w:eastAsia="Muli" w:hAnsi="Muli" w:cs="Muli"/>
                <w:sz w:val="20"/>
                <w:szCs w:val="20"/>
              </w:rPr>
              <w:t>vestigations.</w:t>
            </w:r>
          </w:p>
          <w:p w14:paraId="2DF05AA2" w14:textId="77777777" w:rsidR="004D3B6D" w:rsidRDefault="004D3B6D">
            <w:pPr>
              <w:pStyle w:val="normal0"/>
              <w:rPr>
                <w:rFonts w:ascii="Muli" w:eastAsia="Muli" w:hAnsi="Muli" w:cs="Muli"/>
                <w:sz w:val="20"/>
                <w:szCs w:val="20"/>
              </w:rPr>
            </w:pPr>
          </w:p>
          <w:p w14:paraId="78D1B850" w14:textId="77777777" w:rsidR="004D3B6D" w:rsidRDefault="003F4555">
            <w:pPr>
              <w:pStyle w:val="normal0"/>
              <w:rPr>
                <w:rFonts w:ascii="Muli" w:eastAsia="Muli" w:hAnsi="Muli" w:cs="Muli"/>
                <w:sz w:val="20"/>
                <w:szCs w:val="20"/>
                <w:shd w:val="clear" w:color="auto" w:fill="EA9999"/>
              </w:rPr>
            </w:pPr>
            <w:r>
              <w:rPr>
                <w:rFonts w:ascii="Muli" w:eastAsia="Muli" w:hAnsi="Muli" w:cs="Muli"/>
                <w:sz w:val="20"/>
                <w:szCs w:val="20"/>
              </w:rPr>
              <w:t>Instructional materials frequently provide support for language scaffolding for EL students at point of use in the Teacher Editions,  as well as research-based integrated language routines to support all students to “talk science” using grade-level appropr</w:t>
            </w:r>
            <w:r>
              <w:rPr>
                <w:rFonts w:ascii="Muli" w:eastAsia="Muli" w:hAnsi="Muli" w:cs="Muli"/>
                <w:sz w:val="20"/>
                <w:szCs w:val="20"/>
              </w:rPr>
              <w:t>iate scientific vocabulary.  The digital version of the Twig Book (TB) includes a text to speech function.</w:t>
            </w:r>
          </w:p>
          <w:p w14:paraId="2098CF7F" w14:textId="77777777" w:rsidR="004D3B6D" w:rsidRDefault="004D3B6D">
            <w:pPr>
              <w:pStyle w:val="normal0"/>
              <w:rPr>
                <w:rFonts w:ascii="Muli" w:eastAsia="Muli" w:hAnsi="Muli" w:cs="Muli"/>
                <w:sz w:val="20"/>
                <w:szCs w:val="20"/>
                <w:shd w:val="clear" w:color="auto" w:fill="EA9999"/>
              </w:rPr>
            </w:pPr>
          </w:p>
          <w:p w14:paraId="215D0D7C" w14:textId="77777777" w:rsidR="004D3B6D" w:rsidRDefault="003F4555">
            <w:pPr>
              <w:pStyle w:val="normal0"/>
              <w:rPr>
                <w:rFonts w:ascii="Muli" w:eastAsia="Muli" w:hAnsi="Muli" w:cs="Muli"/>
                <w:sz w:val="20"/>
                <w:szCs w:val="20"/>
              </w:rPr>
            </w:pPr>
            <w:r>
              <w:rPr>
                <w:rFonts w:ascii="Muli" w:eastAsia="Muli" w:hAnsi="Muli" w:cs="Muli"/>
                <w:sz w:val="20"/>
                <w:szCs w:val="20"/>
              </w:rPr>
              <w:t xml:space="preserve">Suggestions for extra access points for students with special needs are provided frequently at point of use. </w:t>
            </w:r>
          </w:p>
          <w:p w14:paraId="09DB196E" w14:textId="77777777" w:rsidR="004D3B6D" w:rsidRDefault="004D3B6D">
            <w:pPr>
              <w:pStyle w:val="normal0"/>
              <w:rPr>
                <w:rFonts w:ascii="Muli" w:eastAsia="Muli" w:hAnsi="Muli" w:cs="Muli"/>
                <w:sz w:val="20"/>
                <w:szCs w:val="20"/>
                <w:shd w:val="clear" w:color="auto" w:fill="EA9999"/>
              </w:rPr>
            </w:pPr>
          </w:p>
          <w:p w14:paraId="356B3A19" w14:textId="77777777" w:rsidR="004D3B6D" w:rsidRDefault="003F4555">
            <w:pPr>
              <w:pStyle w:val="normal0"/>
              <w:rPr>
                <w:rFonts w:ascii="Muli" w:eastAsia="Muli" w:hAnsi="Muli" w:cs="Muli"/>
                <w:sz w:val="20"/>
                <w:szCs w:val="20"/>
              </w:rPr>
            </w:pPr>
            <w:r>
              <w:rPr>
                <w:rFonts w:ascii="Muli" w:eastAsia="Muli" w:hAnsi="Muli" w:cs="Muli"/>
                <w:sz w:val="20"/>
                <w:szCs w:val="20"/>
              </w:rPr>
              <w:t xml:space="preserve">Culturally relevant content is core to the module. For example, in DQ3L4, students play a </w:t>
            </w:r>
            <w:r>
              <w:rPr>
                <w:rFonts w:ascii="Muli" w:eastAsia="Muli" w:hAnsi="Muli" w:cs="Muli"/>
                <w:b/>
                <w:color w:val="FF126D"/>
                <w:sz w:val="20"/>
                <w:szCs w:val="20"/>
              </w:rPr>
              <w:t>Snap game</w:t>
            </w:r>
            <w:r>
              <w:rPr>
                <w:rFonts w:ascii="Muli" w:eastAsia="Muli" w:hAnsi="Muli" w:cs="Muli"/>
                <w:sz w:val="20"/>
                <w:szCs w:val="20"/>
              </w:rPr>
              <w:t xml:space="preserve"> using images of structures in California, with additional culturally-relevant contexts added at point of use.</w:t>
            </w:r>
          </w:p>
          <w:p w14:paraId="6DA0A034" w14:textId="77777777" w:rsidR="004D3B6D" w:rsidRDefault="004D3B6D">
            <w:pPr>
              <w:pStyle w:val="normal0"/>
              <w:rPr>
                <w:rFonts w:ascii="Muli" w:eastAsia="Muli" w:hAnsi="Muli" w:cs="Muli"/>
                <w:sz w:val="20"/>
                <w:szCs w:val="20"/>
              </w:rPr>
            </w:pPr>
          </w:p>
          <w:p w14:paraId="462EE3E6" w14:textId="77777777" w:rsidR="004D3B6D" w:rsidRDefault="003F4555">
            <w:pPr>
              <w:pStyle w:val="normal0"/>
              <w:rPr>
                <w:rFonts w:ascii="Muli" w:eastAsia="Muli" w:hAnsi="Muli" w:cs="Muli"/>
                <w:sz w:val="20"/>
                <w:szCs w:val="20"/>
              </w:rPr>
            </w:pPr>
            <w:r>
              <w:rPr>
                <w:rFonts w:ascii="Muli" w:eastAsia="Muli" w:hAnsi="Muli" w:cs="Muli"/>
                <w:sz w:val="20"/>
                <w:szCs w:val="20"/>
              </w:rPr>
              <w:t>Higher Order Challenges for GATE student t</w:t>
            </w:r>
            <w:r>
              <w:rPr>
                <w:rFonts w:ascii="Muli" w:eastAsia="Muli" w:hAnsi="Muli" w:cs="Muli"/>
                <w:sz w:val="20"/>
                <w:szCs w:val="20"/>
              </w:rPr>
              <w:t xml:space="preserve">hat have already met the learning goals are interspersed through the learning activities. </w:t>
            </w:r>
          </w:p>
          <w:p w14:paraId="0FE9D5E2" w14:textId="77777777" w:rsidR="004D3B6D" w:rsidRDefault="004D3B6D">
            <w:pPr>
              <w:pStyle w:val="normal0"/>
              <w:rPr>
                <w:rFonts w:ascii="Muli" w:eastAsia="Muli" w:hAnsi="Muli" w:cs="Muli"/>
                <w:sz w:val="20"/>
                <w:szCs w:val="20"/>
                <w:shd w:val="clear" w:color="auto" w:fill="EA9999"/>
              </w:rPr>
            </w:pPr>
          </w:p>
          <w:p w14:paraId="18BF0516" w14:textId="77777777" w:rsidR="004D3B6D" w:rsidRDefault="003F4555">
            <w:pPr>
              <w:pStyle w:val="normal0"/>
              <w:rPr>
                <w:rFonts w:ascii="Muli" w:eastAsia="Muli" w:hAnsi="Muli" w:cs="Muli"/>
                <w:sz w:val="20"/>
                <w:szCs w:val="20"/>
              </w:rPr>
            </w:pPr>
            <w:r>
              <w:rPr>
                <w:rFonts w:ascii="Muli" w:eastAsia="Muli" w:hAnsi="Muli" w:cs="Muli"/>
                <w:sz w:val="20"/>
                <w:szCs w:val="20"/>
              </w:rPr>
              <w:t>The frequent use of videos helps all students access and engage with phenomena and science concepts. Key words are overlaid as on-screen text, so students can acces</w:t>
            </w:r>
            <w:r>
              <w:rPr>
                <w:rFonts w:ascii="Muli" w:eastAsia="Muli" w:hAnsi="Muli" w:cs="Muli"/>
                <w:sz w:val="20"/>
                <w:szCs w:val="20"/>
              </w:rPr>
              <w:t>s the ideas visually as well as via the spoken and written word. Captions are provided in both English and Spanish.</w:t>
            </w:r>
          </w:p>
        </w:tc>
      </w:tr>
      <w:tr w:rsidR="004D3B6D" w14:paraId="4F89DCEA" w14:textId="77777777">
        <w:trPr>
          <w:trHeight w:val="3060"/>
        </w:trPr>
        <w:tc>
          <w:tcPr>
            <w:tcW w:w="10245" w:type="dxa"/>
            <w:tcMar>
              <w:top w:w="99" w:type="dxa"/>
              <w:left w:w="99" w:type="dxa"/>
              <w:bottom w:w="99" w:type="dxa"/>
              <w:right w:w="99" w:type="dxa"/>
            </w:tcMar>
          </w:tcPr>
          <w:p w14:paraId="03347213" w14:textId="77777777" w:rsidR="004D3B6D" w:rsidRDefault="003F4555">
            <w:pPr>
              <w:pStyle w:val="normal0"/>
              <w:rPr>
                <w:sz w:val="18"/>
                <w:szCs w:val="18"/>
              </w:rPr>
            </w:pPr>
            <w:r>
              <w:rPr>
                <w:rFonts w:ascii="Muli" w:eastAsia="Muli" w:hAnsi="Muli" w:cs="Muli"/>
                <w:sz w:val="20"/>
                <w:szCs w:val="20"/>
              </w:rPr>
              <w:t xml:space="preserve">The </w:t>
            </w:r>
            <w:r>
              <w:rPr>
                <w:rFonts w:ascii="Muli" w:eastAsia="Muli" w:hAnsi="Muli" w:cs="Muli"/>
                <w:b/>
                <w:i/>
                <w:color w:val="FF126D"/>
                <w:sz w:val="20"/>
                <w:szCs w:val="20"/>
              </w:rPr>
              <w:t>Pushes and Pulls</w:t>
            </w:r>
            <w:r>
              <w:rPr>
                <w:rFonts w:ascii="Muli" w:eastAsia="Muli" w:hAnsi="Muli" w:cs="Muli"/>
                <w:b/>
                <w:color w:val="FF126D"/>
                <w:sz w:val="20"/>
                <w:szCs w:val="20"/>
              </w:rPr>
              <w:t xml:space="preserve"> Leveled Reader</w:t>
            </w:r>
            <w:r>
              <w:rPr>
                <w:rFonts w:ascii="Muli" w:eastAsia="Muli" w:hAnsi="Muli" w:cs="Muli"/>
                <w:sz w:val="20"/>
                <w:szCs w:val="20"/>
              </w:rPr>
              <w:t xml:space="preserve"> has been designed to capture the imagination of young readers with jokes and cartoons and it provides a</w:t>
            </w:r>
            <w:r>
              <w:rPr>
                <w:rFonts w:ascii="Muli" w:eastAsia="Muli" w:hAnsi="Muli" w:cs="Muli"/>
                <w:sz w:val="20"/>
                <w:szCs w:val="20"/>
              </w:rPr>
              <w:t xml:space="preserve">n alternative means to access the scientific content. The reader is available in four levels (Below, On, Above, English Learner) plus Spanish, with complementary lessons to build language acquisition and develop informational text reading skills. On-Level </w:t>
            </w:r>
            <w:r>
              <w:rPr>
                <w:rFonts w:ascii="Muli" w:eastAsia="Muli" w:hAnsi="Muli" w:cs="Muli"/>
                <w:sz w:val="20"/>
                <w:szCs w:val="20"/>
              </w:rPr>
              <w:t>lessons are in the TE, with other levels available digitally. The reader features many positive role models in the field of science and engineering, designed to cultivate interest in STEM careers for all students. Chapter 2 is dedicated to an interview wit</w:t>
            </w:r>
            <w:r>
              <w:rPr>
                <w:rFonts w:ascii="Muli" w:eastAsia="Muli" w:hAnsi="Muli" w:cs="Muli"/>
                <w:sz w:val="20"/>
                <w:szCs w:val="20"/>
              </w:rPr>
              <w:t>h a scientist based at a university in London. The digital version of the reader includes a text to speech function.</w:t>
            </w:r>
          </w:p>
        </w:tc>
        <w:tc>
          <w:tcPr>
            <w:tcW w:w="4425" w:type="dxa"/>
            <w:tcMar>
              <w:top w:w="99" w:type="dxa"/>
              <w:left w:w="99" w:type="dxa"/>
              <w:bottom w:w="99" w:type="dxa"/>
              <w:right w:w="99" w:type="dxa"/>
            </w:tcMar>
          </w:tcPr>
          <w:p w14:paraId="0E08FA94" w14:textId="77777777" w:rsidR="004D3B6D" w:rsidRDefault="003F4555">
            <w:pPr>
              <w:pStyle w:val="normal0"/>
              <w:rPr>
                <w:rFonts w:ascii="Muli" w:eastAsia="Muli" w:hAnsi="Muli" w:cs="Muli"/>
                <w:sz w:val="20"/>
                <w:szCs w:val="20"/>
              </w:rPr>
            </w:pPr>
            <w:r>
              <w:rPr>
                <w:rFonts w:ascii="Muli" w:eastAsia="Muli" w:hAnsi="Muli" w:cs="Muli"/>
                <w:noProof/>
                <w:sz w:val="20"/>
                <w:szCs w:val="20"/>
              </w:rPr>
              <w:drawing>
                <wp:inline distT="114300" distB="114300" distL="114300" distR="114300" wp14:anchorId="314D46A3" wp14:editId="7C9BB294">
                  <wp:extent cx="2676525" cy="1447800"/>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676525" cy="1447800"/>
                          </a:xfrm>
                          <a:prstGeom prst="rect">
                            <a:avLst/>
                          </a:prstGeom>
                          <a:ln/>
                        </pic:spPr>
                      </pic:pic>
                    </a:graphicData>
                  </a:graphic>
                </wp:inline>
              </w:drawing>
            </w:r>
          </w:p>
          <w:p w14:paraId="0981B1AD" w14:textId="77777777" w:rsidR="004D3B6D" w:rsidRDefault="003F4555">
            <w:pPr>
              <w:pStyle w:val="normal0"/>
              <w:rPr>
                <w:rFonts w:ascii="Muli" w:eastAsia="Muli" w:hAnsi="Muli" w:cs="Muli"/>
                <w:b/>
                <w:sz w:val="20"/>
                <w:szCs w:val="20"/>
              </w:rPr>
            </w:pPr>
            <w:r>
              <w:rPr>
                <w:rFonts w:ascii="Muli" w:eastAsia="Muli" w:hAnsi="Muli" w:cs="Muli"/>
                <w:b/>
                <w:i/>
                <w:color w:val="FF126D"/>
                <w:sz w:val="20"/>
                <w:szCs w:val="20"/>
              </w:rPr>
              <w:t>Pushes and Pulls</w:t>
            </w:r>
            <w:r>
              <w:rPr>
                <w:rFonts w:ascii="Muli" w:eastAsia="Muli" w:hAnsi="Muli" w:cs="Muli"/>
                <w:b/>
                <w:color w:val="FF126D"/>
                <w:sz w:val="20"/>
                <w:szCs w:val="20"/>
              </w:rPr>
              <w:t xml:space="preserve"> Leveled Reader (Front Cover)</w:t>
            </w:r>
          </w:p>
        </w:tc>
      </w:tr>
      <w:tr w:rsidR="004D3B6D" w14:paraId="18D415FD" w14:textId="77777777">
        <w:trPr>
          <w:trHeight w:val="1260"/>
        </w:trPr>
        <w:tc>
          <w:tcPr>
            <w:tcW w:w="10245" w:type="dxa"/>
            <w:tcMar>
              <w:top w:w="99" w:type="dxa"/>
              <w:left w:w="99" w:type="dxa"/>
              <w:bottom w:w="99" w:type="dxa"/>
              <w:right w:w="99" w:type="dxa"/>
            </w:tcMar>
          </w:tcPr>
          <w:p w14:paraId="76ECD725" w14:textId="77777777" w:rsidR="004D3B6D" w:rsidRDefault="003F4555">
            <w:pPr>
              <w:pStyle w:val="normal0"/>
              <w:rPr>
                <w:rFonts w:ascii="Muli" w:eastAsia="Muli" w:hAnsi="Muli" w:cs="Muli"/>
                <w:sz w:val="20"/>
                <w:szCs w:val="20"/>
              </w:rPr>
            </w:pPr>
            <w:r>
              <w:rPr>
                <w:rFonts w:ascii="Muli" w:eastAsia="Muli" w:hAnsi="Muli" w:cs="Muli"/>
                <w:b/>
                <w:color w:val="FF126D"/>
                <w:sz w:val="20"/>
                <w:szCs w:val="20"/>
              </w:rPr>
              <w:lastRenderedPageBreak/>
              <w:t>Evidence</w:t>
            </w:r>
            <w:r>
              <w:rPr>
                <w:rFonts w:ascii="Muli" w:eastAsia="Muli" w:hAnsi="Muli" w:cs="Muli"/>
                <w:b/>
                <w:sz w:val="20"/>
                <w:szCs w:val="20"/>
              </w:rPr>
              <w:t xml:space="preserve"> </w:t>
            </w:r>
          </w:p>
          <w:p w14:paraId="770693FC" w14:textId="77777777" w:rsidR="004D3B6D" w:rsidRDefault="003F4555">
            <w:pPr>
              <w:pStyle w:val="normal0"/>
              <w:numPr>
                <w:ilvl w:val="0"/>
                <w:numId w:val="14"/>
              </w:numPr>
              <w:contextualSpacing/>
              <w:rPr>
                <w:rFonts w:ascii="Muli" w:eastAsia="Muli" w:hAnsi="Muli" w:cs="Muli"/>
                <w:sz w:val="20"/>
                <w:szCs w:val="20"/>
              </w:rPr>
            </w:pPr>
            <w:r>
              <w:rPr>
                <w:rFonts w:ascii="Muli" w:eastAsia="Muli" w:hAnsi="Muli" w:cs="Muli"/>
                <w:sz w:val="20"/>
                <w:szCs w:val="20"/>
              </w:rPr>
              <w:t>Integrated EL sidebars offer teachers guidance to support students’ engagement with the material (</w:t>
            </w:r>
            <w:r>
              <w:rPr>
                <w:rFonts w:ascii="Muli" w:eastAsia="Muli" w:hAnsi="Muli" w:cs="Muli"/>
                <w:b/>
                <w:color w:val="FF126D"/>
                <w:sz w:val="20"/>
                <w:szCs w:val="20"/>
              </w:rPr>
              <w:t>DQ1L1 TE p. 11</w:t>
            </w:r>
            <w:r>
              <w:rPr>
                <w:rFonts w:ascii="Muli" w:eastAsia="Muli" w:hAnsi="Muli" w:cs="Muli"/>
                <w:sz w:val="20"/>
                <w:szCs w:val="20"/>
              </w:rPr>
              <w:t>, DQ1L2 TE p. 18, DQ1L8 TE p. 59, DQ2L5 TE p. 110, DQ3L5 TE p. 161).</w:t>
            </w:r>
          </w:p>
        </w:tc>
        <w:tc>
          <w:tcPr>
            <w:tcW w:w="4425" w:type="dxa"/>
            <w:tcMar>
              <w:top w:w="99" w:type="dxa"/>
              <w:left w:w="99" w:type="dxa"/>
              <w:bottom w:w="99" w:type="dxa"/>
              <w:right w:w="99" w:type="dxa"/>
            </w:tcMar>
          </w:tcPr>
          <w:p w14:paraId="526819F7" w14:textId="77777777" w:rsidR="004D3B6D" w:rsidRDefault="003F4555">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7C1ED006" wp14:editId="451F648D">
                  <wp:extent cx="2676525" cy="21082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676525" cy="2108200"/>
                          </a:xfrm>
                          <a:prstGeom prst="rect">
                            <a:avLst/>
                          </a:prstGeom>
                          <a:ln/>
                        </pic:spPr>
                      </pic:pic>
                    </a:graphicData>
                  </a:graphic>
                </wp:inline>
              </w:drawing>
            </w:r>
          </w:p>
          <w:p w14:paraId="7EB8F676" w14:textId="77777777" w:rsidR="004D3B6D" w:rsidRDefault="003F4555">
            <w:pPr>
              <w:pStyle w:val="normal0"/>
              <w:rPr>
                <w:rFonts w:ascii="Muli" w:eastAsia="Muli" w:hAnsi="Muli" w:cs="Muli"/>
                <w:b/>
                <w:sz w:val="20"/>
                <w:szCs w:val="20"/>
              </w:rPr>
            </w:pPr>
            <w:r>
              <w:rPr>
                <w:rFonts w:ascii="Muli" w:eastAsia="Muli" w:hAnsi="Muli" w:cs="Muli"/>
                <w:b/>
                <w:color w:val="FF126D"/>
                <w:sz w:val="20"/>
                <w:szCs w:val="20"/>
              </w:rPr>
              <w:t>DQ1L1 English Learners TE p. 11</w:t>
            </w:r>
          </w:p>
        </w:tc>
      </w:tr>
      <w:tr w:rsidR="004D3B6D" w14:paraId="2D51F5B6" w14:textId="77777777">
        <w:trPr>
          <w:trHeight w:val="1260"/>
        </w:trPr>
        <w:tc>
          <w:tcPr>
            <w:tcW w:w="10245" w:type="dxa"/>
            <w:tcMar>
              <w:top w:w="99" w:type="dxa"/>
              <w:left w:w="99" w:type="dxa"/>
              <w:bottom w:w="99" w:type="dxa"/>
              <w:right w:w="99" w:type="dxa"/>
            </w:tcMar>
          </w:tcPr>
          <w:p w14:paraId="1B5C4DF9" w14:textId="77777777" w:rsidR="004D3B6D" w:rsidRDefault="003F4555">
            <w:pPr>
              <w:pStyle w:val="normal0"/>
              <w:numPr>
                <w:ilvl w:val="0"/>
                <w:numId w:val="14"/>
              </w:numPr>
              <w:rPr>
                <w:rFonts w:ascii="Muli" w:eastAsia="Muli" w:hAnsi="Muli" w:cs="Muli"/>
                <w:sz w:val="20"/>
                <w:szCs w:val="20"/>
              </w:rPr>
            </w:pPr>
            <w:r>
              <w:rPr>
                <w:rFonts w:ascii="Muli" w:eastAsia="Muli" w:hAnsi="Muli" w:cs="Muli"/>
                <w:sz w:val="20"/>
                <w:szCs w:val="20"/>
              </w:rPr>
              <w:t xml:space="preserve">Integrated Cultural Connection sidebars </w:t>
            </w:r>
            <w:r>
              <w:rPr>
                <w:rFonts w:ascii="Muli" w:eastAsia="Muli" w:hAnsi="Muli" w:cs="Muli"/>
                <w:sz w:val="20"/>
                <w:szCs w:val="20"/>
              </w:rPr>
              <w:t xml:space="preserve">offer teachers guidance to engage students of all backgrounds and abilities (DQ2L1 TE p. 86, </w:t>
            </w:r>
            <w:r>
              <w:rPr>
                <w:rFonts w:ascii="Muli" w:eastAsia="Muli" w:hAnsi="Muli" w:cs="Muli"/>
                <w:b/>
                <w:color w:val="FF126D"/>
                <w:sz w:val="20"/>
                <w:szCs w:val="20"/>
              </w:rPr>
              <w:t>DQ2L5 TE p. 114</w:t>
            </w:r>
            <w:r>
              <w:rPr>
                <w:rFonts w:ascii="Muli" w:eastAsia="Muli" w:hAnsi="Muli" w:cs="Muli"/>
                <w:sz w:val="20"/>
                <w:szCs w:val="20"/>
              </w:rPr>
              <w:t>, DQ3L6 TE p. 168).</w:t>
            </w:r>
          </w:p>
        </w:tc>
        <w:tc>
          <w:tcPr>
            <w:tcW w:w="4425" w:type="dxa"/>
            <w:tcMar>
              <w:top w:w="99" w:type="dxa"/>
              <w:left w:w="99" w:type="dxa"/>
              <w:bottom w:w="99" w:type="dxa"/>
              <w:right w:w="99" w:type="dxa"/>
            </w:tcMar>
          </w:tcPr>
          <w:p w14:paraId="3F2812BD" w14:textId="77777777" w:rsidR="004D3B6D" w:rsidRDefault="003F4555">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0613E20" wp14:editId="0D9947B7">
                  <wp:extent cx="2076450" cy="1514475"/>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076450" cy="1514475"/>
                          </a:xfrm>
                          <a:prstGeom prst="rect">
                            <a:avLst/>
                          </a:prstGeom>
                          <a:ln/>
                        </pic:spPr>
                      </pic:pic>
                    </a:graphicData>
                  </a:graphic>
                </wp:inline>
              </w:drawing>
            </w:r>
          </w:p>
          <w:p w14:paraId="7F63A8DC" w14:textId="77777777" w:rsidR="004D3B6D" w:rsidRDefault="003F4555">
            <w:pPr>
              <w:pStyle w:val="normal0"/>
              <w:rPr>
                <w:rFonts w:ascii="Muli" w:eastAsia="Muli" w:hAnsi="Muli" w:cs="Muli"/>
                <w:b/>
                <w:sz w:val="20"/>
                <w:szCs w:val="20"/>
              </w:rPr>
            </w:pPr>
            <w:r>
              <w:rPr>
                <w:rFonts w:ascii="Muli" w:eastAsia="Muli" w:hAnsi="Muli" w:cs="Muli"/>
                <w:b/>
                <w:color w:val="FF126D"/>
                <w:sz w:val="20"/>
                <w:szCs w:val="20"/>
              </w:rPr>
              <w:t>DQ2L5 Cultural Connection TE p. 114</w:t>
            </w:r>
          </w:p>
        </w:tc>
      </w:tr>
      <w:tr w:rsidR="004D3B6D" w14:paraId="18FE5889" w14:textId="77777777">
        <w:trPr>
          <w:trHeight w:val="1260"/>
        </w:trPr>
        <w:tc>
          <w:tcPr>
            <w:tcW w:w="10245" w:type="dxa"/>
            <w:tcMar>
              <w:top w:w="99" w:type="dxa"/>
              <w:left w:w="99" w:type="dxa"/>
              <w:bottom w:w="99" w:type="dxa"/>
              <w:right w:w="99" w:type="dxa"/>
            </w:tcMar>
          </w:tcPr>
          <w:p w14:paraId="3C4C0F46" w14:textId="77777777" w:rsidR="004D3B6D" w:rsidRDefault="003F4555">
            <w:pPr>
              <w:pStyle w:val="normal0"/>
              <w:numPr>
                <w:ilvl w:val="0"/>
                <w:numId w:val="14"/>
              </w:numPr>
              <w:rPr>
                <w:rFonts w:ascii="Muli" w:eastAsia="Muli" w:hAnsi="Muli" w:cs="Muli"/>
                <w:sz w:val="20"/>
                <w:szCs w:val="20"/>
              </w:rPr>
            </w:pPr>
            <w:r>
              <w:rPr>
                <w:rFonts w:ascii="Muli" w:eastAsia="Muli" w:hAnsi="Muli" w:cs="Muli"/>
                <w:sz w:val="20"/>
                <w:szCs w:val="20"/>
              </w:rPr>
              <w:t>Integrated Special Needs sidebars offer teachers guidance to support students of all abil</w:t>
            </w:r>
            <w:r>
              <w:rPr>
                <w:rFonts w:ascii="Muli" w:eastAsia="Muli" w:hAnsi="Muli" w:cs="Muli"/>
                <w:sz w:val="20"/>
                <w:szCs w:val="20"/>
              </w:rPr>
              <w:t xml:space="preserve">ities as they participation in class activities and grasp key concepts (DQ1L2 TE p. 17, </w:t>
            </w:r>
            <w:r>
              <w:rPr>
                <w:rFonts w:ascii="Muli" w:eastAsia="Muli" w:hAnsi="Muli" w:cs="Muli"/>
                <w:b/>
                <w:color w:val="FF126D"/>
                <w:sz w:val="20"/>
                <w:szCs w:val="20"/>
              </w:rPr>
              <w:t>DQ1L3 TE p. 27</w:t>
            </w:r>
            <w:r>
              <w:rPr>
                <w:rFonts w:ascii="Muli" w:eastAsia="Muli" w:hAnsi="Muli" w:cs="Muli"/>
                <w:sz w:val="20"/>
                <w:szCs w:val="20"/>
              </w:rPr>
              <w:t>, DQ2L1 TE p. 88, DQ3L2 TE p. 142, DQ3L6 TE p. 166).</w:t>
            </w:r>
          </w:p>
        </w:tc>
        <w:tc>
          <w:tcPr>
            <w:tcW w:w="4425" w:type="dxa"/>
            <w:tcMar>
              <w:top w:w="99" w:type="dxa"/>
              <w:left w:w="99" w:type="dxa"/>
              <w:bottom w:w="99" w:type="dxa"/>
              <w:right w:w="99" w:type="dxa"/>
            </w:tcMar>
          </w:tcPr>
          <w:p w14:paraId="4CF2C732" w14:textId="77777777" w:rsidR="004D3B6D" w:rsidRDefault="003F4555">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4C60F525" wp14:editId="3EA97916">
                  <wp:extent cx="2162175" cy="18859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162175" cy="1885950"/>
                          </a:xfrm>
                          <a:prstGeom prst="rect">
                            <a:avLst/>
                          </a:prstGeom>
                          <a:ln/>
                        </pic:spPr>
                      </pic:pic>
                    </a:graphicData>
                  </a:graphic>
                </wp:inline>
              </w:drawing>
            </w:r>
          </w:p>
          <w:p w14:paraId="18D0B00B" w14:textId="77777777" w:rsidR="004D3B6D" w:rsidRDefault="003F4555">
            <w:pPr>
              <w:pStyle w:val="normal0"/>
              <w:rPr>
                <w:rFonts w:ascii="Muli" w:eastAsia="Muli" w:hAnsi="Muli" w:cs="Muli"/>
                <w:b/>
                <w:color w:val="FF126D"/>
                <w:sz w:val="20"/>
                <w:szCs w:val="20"/>
              </w:rPr>
            </w:pPr>
            <w:r>
              <w:rPr>
                <w:rFonts w:ascii="Muli" w:eastAsia="Muli" w:hAnsi="Muli" w:cs="Muli"/>
                <w:b/>
                <w:color w:val="FF126D"/>
                <w:sz w:val="20"/>
                <w:szCs w:val="20"/>
              </w:rPr>
              <w:t>DQ1L3 Special Needs TE p. 27</w:t>
            </w:r>
          </w:p>
        </w:tc>
      </w:tr>
      <w:tr w:rsidR="004D3B6D" w14:paraId="4F6CD277" w14:textId="77777777">
        <w:trPr>
          <w:trHeight w:val="1260"/>
        </w:trPr>
        <w:tc>
          <w:tcPr>
            <w:tcW w:w="10245" w:type="dxa"/>
            <w:tcMar>
              <w:top w:w="99" w:type="dxa"/>
              <w:left w:w="99" w:type="dxa"/>
              <w:bottom w:w="99" w:type="dxa"/>
              <w:right w:w="99" w:type="dxa"/>
            </w:tcMar>
          </w:tcPr>
          <w:p w14:paraId="70973EA2" w14:textId="77777777" w:rsidR="004D3B6D" w:rsidRDefault="003F4555">
            <w:pPr>
              <w:pStyle w:val="normal0"/>
              <w:numPr>
                <w:ilvl w:val="0"/>
                <w:numId w:val="14"/>
              </w:numPr>
              <w:rPr>
                <w:rFonts w:ascii="Muli" w:eastAsia="Muli" w:hAnsi="Muli" w:cs="Muli"/>
                <w:sz w:val="20"/>
                <w:szCs w:val="20"/>
              </w:rPr>
            </w:pPr>
            <w:r>
              <w:rPr>
                <w:rFonts w:ascii="Muli" w:eastAsia="Muli" w:hAnsi="Muli" w:cs="Muli"/>
                <w:sz w:val="20"/>
                <w:szCs w:val="20"/>
              </w:rPr>
              <w:lastRenderedPageBreak/>
              <w:t>Integrated Challenges interspersed throughout the TB support GATE stu</w:t>
            </w:r>
            <w:r>
              <w:rPr>
                <w:rFonts w:ascii="Muli" w:eastAsia="Muli" w:hAnsi="Muli" w:cs="Muli"/>
                <w:sz w:val="20"/>
                <w:szCs w:val="20"/>
              </w:rPr>
              <w:t xml:space="preserve">dents who have met the learning goals (DQ1L1 TB p. 3, DQ1L8 TB p. 21, DQ2L3 TB p. 35, DQ2L5 TB p. 42, </w:t>
            </w:r>
            <w:r>
              <w:rPr>
                <w:rFonts w:ascii="Muli" w:eastAsia="Muli" w:hAnsi="Muli" w:cs="Muli"/>
                <w:b/>
                <w:color w:val="FF126D"/>
                <w:sz w:val="20"/>
                <w:szCs w:val="20"/>
              </w:rPr>
              <w:t>DQ3L4 TB p. 61</w:t>
            </w:r>
            <w:r>
              <w:rPr>
                <w:rFonts w:ascii="Muli" w:eastAsia="Muli" w:hAnsi="Muli" w:cs="Muli"/>
                <w:sz w:val="20"/>
                <w:szCs w:val="20"/>
              </w:rPr>
              <w:t xml:space="preserve">). </w:t>
            </w:r>
          </w:p>
        </w:tc>
        <w:tc>
          <w:tcPr>
            <w:tcW w:w="4425" w:type="dxa"/>
            <w:tcMar>
              <w:top w:w="99" w:type="dxa"/>
              <w:left w:w="99" w:type="dxa"/>
              <w:bottom w:w="99" w:type="dxa"/>
              <w:right w:w="99" w:type="dxa"/>
            </w:tcMar>
          </w:tcPr>
          <w:p w14:paraId="754AB5E6" w14:textId="77777777" w:rsidR="004D3B6D" w:rsidRDefault="003F4555">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697295F" wp14:editId="701AD5F5">
                  <wp:extent cx="2143125" cy="173355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b="23206"/>
                          <a:stretch>
                            <a:fillRect/>
                          </a:stretch>
                        </pic:blipFill>
                        <pic:spPr>
                          <a:xfrm>
                            <a:off x="0" y="0"/>
                            <a:ext cx="2143125" cy="1733550"/>
                          </a:xfrm>
                          <a:prstGeom prst="rect">
                            <a:avLst/>
                          </a:prstGeom>
                          <a:ln/>
                        </pic:spPr>
                      </pic:pic>
                    </a:graphicData>
                  </a:graphic>
                </wp:inline>
              </w:drawing>
            </w:r>
          </w:p>
          <w:p w14:paraId="4E312BDE" w14:textId="77777777" w:rsidR="004D3B6D" w:rsidRDefault="003F4555">
            <w:pPr>
              <w:pStyle w:val="normal0"/>
              <w:rPr>
                <w:rFonts w:ascii="Muli" w:eastAsia="Muli" w:hAnsi="Muli" w:cs="Muli"/>
                <w:b/>
                <w:color w:val="FF126D"/>
                <w:sz w:val="20"/>
                <w:szCs w:val="20"/>
              </w:rPr>
            </w:pPr>
            <w:r>
              <w:rPr>
                <w:rFonts w:ascii="Muli" w:eastAsia="Muli" w:hAnsi="Muli" w:cs="Muli"/>
                <w:b/>
                <w:color w:val="FF126D"/>
                <w:sz w:val="20"/>
                <w:szCs w:val="20"/>
              </w:rPr>
              <w:t>DQ3L4 Challenge TB p. 61</w:t>
            </w:r>
          </w:p>
        </w:tc>
      </w:tr>
      <w:tr w:rsidR="004D3B6D" w14:paraId="1E63DC12" w14:textId="77777777">
        <w:trPr>
          <w:trHeight w:val="1260"/>
        </w:trPr>
        <w:tc>
          <w:tcPr>
            <w:tcW w:w="10245" w:type="dxa"/>
            <w:tcMar>
              <w:top w:w="99" w:type="dxa"/>
              <w:left w:w="99" w:type="dxa"/>
              <w:bottom w:w="99" w:type="dxa"/>
              <w:right w:w="99" w:type="dxa"/>
            </w:tcMar>
          </w:tcPr>
          <w:p w14:paraId="1CD311E0" w14:textId="77777777" w:rsidR="004D3B6D" w:rsidRDefault="003F4555">
            <w:pPr>
              <w:pStyle w:val="normal0"/>
              <w:numPr>
                <w:ilvl w:val="0"/>
                <w:numId w:val="14"/>
              </w:numPr>
              <w:contextualSpacing/>
              <w:rPr>
                <w:rFonts w:ascii="Muli" w:eastAsia="Muli" w:hAnsi="Muli" w:cs="Muli"/>
                <w:sz w:val="20"/>
                <w:szCs w:val="20"/>
              </w:rPr>
            </w:pPr>
            <w:r>
              <w:rPr>
                <w:rFonts w:ascii="Muli" w:eastAsia="Muli" w:hAnsi="Muli" w:cs="Muli"/>
                <w:sz w:val="20"/>
                <w:szCs w:val="20"/>
              </w:rPr>
              <w:t xml:space="preserve">Videos like What Makes Things Move? (DQ1L3), Exploring Forces (DQ1L4), </w:t>
            </w:r>
            <w:r>
              <w:rPr>
                <w:rFonts w:ascii="Muli" w:eastAsia="Muli" w:hAnsi="Muli" w:cs="Muli"/>
                <w:b/>
                <w:color w:val="FF126D"/>
                <w:sz w:val="20"/>
                <w:szCs w:val="20"/>
              </w:rPr>
              <w:t xml:space="preserve">Gravity </w:t>
            </w:r>
            <w:r>
              <w:rPr>
                <w:rFonts w:ascii="Muli" w:eastAsia="Muli" w:hAnsi="Muli" w:cs="Muli"/>
                <w:sz w:val="20"/>
                <w:szCs w:val="20"/>
              </w:rPr>
              <w:t xml:space="preserve">(DQ1L8), and Speed </w:t>
            </w:r>
            <w:r>
              <w:rPr>
                <w:rFonts w:ascii="Muli" w:eastAsia="Muli" w:hAnsi="Muli" w:cs="Muli"/>
                <w:sz w:val="20"/>
                <w:szCs w:val="20"/>
              </w:rPr>
              <w:t xml:space="preserve">(DQ2L4) bring phenomena and concepts to life for all students. </w:t>
            </w:r>
          </w:p>
        </w:tc>
        <w:tc>
          <w:tcPr>
            <w:tcW w:w="4425" w:type="dxa"/>
            <w:tcMar>
              <w:top w:w="99" w:type="dxa"/>
              <w:left w:w="99" w:type="dxa"/>
              <w:bottom w:w="99" w:type="dxa"/>
              <w:right w:w="99" w:type="dxa"/>
            </w:tcMar>
          </w:tcPr>
          <w:p w14:paraId="68616E67" w14:textId="77777777" w:rsidR="004D3B6D" w:rsidRDefault="003F4555">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508F1DE6" wp14:editId="1D7AF12D">
                  <wp:extent cx="2676525" cy="16764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2676525" cy="1676400"/>
                          </a:xfrm>
                          <a:prstGeom prst="rect">
                            <a:avLst/>
                          </a:prstGeom>
                          <a:ln/>
                        </pic:spPr>
                      </pic:pic>
                    </a:graphicData>
                  </a:graphic>
                </wp:inline>
              </w:drawing>
            </w:r>
          </w:p>
          <w:p w14:paraId="7CD54FD0" w14:textId="77777777" w:rsidR="004D3B6D" w:rsidRDefault="003F4555">
            <w:pPr>
              <w:pStyle w:val="normal0"/>
              <w:rPr>
                <w:rFonts w:ascii="Muli" w:eastAsia="Muli" w:hAnsi="Muli" w:cs="Muli"/>
                <w:b/>
                <w:color w:val="FF126D"/>
                <w:sz w:val="20"/>
                <w:szCs w:val="20"/>
              </w:rPr>
            </w:pPr>
            <w:r>
              <w:rPr>
                <w:rFonts w:ascii="Muli" w:eastAsia="Muli" w:hAnsi="Muli" w:cs="Muli"/>
                <w:b/>
                <w:color w:val="FF126D"/>
                <w:sz w:val="20"/>
                <w:szCs w:val="20"/>
              </w:rPr>
              <w:t>Gravity video (DQ1L8)</w:t>
            </w:r>
          </w:p>
        </w:tc>
      </w:tr>
    </w:tbl>
    <w:p w14:paraId="77FE5B9A" w14:textId="77777777" w:rsidR="004D3B6D" w:rsidRDefault="004D3B6D">
      <w:pPr>
        <w:pStyle w:val="normal0"/>
        <w:pBdr>
          <w:top w:val="nil"/>
          <w:left w:val="nil"/>
          <w:bottom w:val="nil"/>
          <w:right w:val="nil"/>
          <w:between w:val="nil"/>
        </w:pBdr>
        <w:spacing w:line="276" w:lineRule="auto"/>
        <w:rPr>
          <w:color w:val="000000"/>
          <w:sz w:val="15"/>
          <w:szCs w:val="15"/>
        </w:rPr>
      </w:pPr>
    </w:p>
    <w:tbl>
      <w:tblPr>
        <w:tblStyle w:val="a0"/>
        <w:tblW w:w="146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40"/>
        <w:gridCol w:w="2370"/>
        <w:gridCol w:w="2370"/>
        <w:gridCol w:w="2475"/>
      </w:tblGrid>
      <w:tr w:rsidR="004D3B6D" w14:paraId="6696625A" w14:textId="77777777">
        <w:trPr>
          <w:trHeight w:val="480"/>
        </w:trPr>
        <w:tc>
          <w:tcPr>
            <w:tcW w:w="7440" w:type="dxa"/>
            <w:shd w:val="clear" w:color="auto" w:fill="2F5496"/>
          </w:tcPr>
          <w:p w14:paraId="740D2492" w14:textId="77777777" w:rsidR="004D3B6D" w:rsidRDefault="003F4555">
            <w:pPr>
              <w:pStyle w:val="normal0"/>
              <w:spacing w:before="222"/>
              <w:ind w:left="270"/>
              <w:rPr>
                <w:rFonts w:ascii="Muli" w:eastAsia="Muli" w:hAnsi="Muli" w:cs="Muli"/>
                <w:b/>
                <w:color w:val="FFFFFF"/>
                <w:sz w:val="20"/>
                <w:szCs w:val="20"/>
              </w:rPr>
            </w:pPr>
            <w:r>
              <w:rPr>
                <w:rFonts w:ascii="Muli" w:eastAsia="Muli" w:hAnsi="Muli" w:cs="Muli"/>
                <w:b/>
                <w:color w:val="FFFFFF"/>
                <w:sz w:val="20"/>
                <w:szCs w:val="20"/>
              </w:rPr>
              <w:t>Designed for the NGSS: Foundations</w:t>
            </w:r>
          </w:p>
        </w:tc>
        <w:tc>
          <w:tcPr>
            <w:tcW w:w="2370" w:type="dxa"/>
            <w:shd w:val="clear" w:color="auto" w:fill="2F5496"/>
          </w:tcPr>
          <w:p w14:paraId="3740D82C" w14:textId="77777777" w:rsidR="004D3B6D" w:rsidRDefault="003F4555">
            <w:pPr>
              <w:pStyle w:val="normal0"/>
              <w:spacing w:before="100"/>
              <w:ind w:left="90"/>
              <w:rPr>
                <w:rFonts w:ascii="Muli" w:eastAsia="Muli" w:hAnsi="Muli" w:cs="Muli"/>
                <w:b/>
                <w:color w:val="FFFFFF"/>
                <w:sz w:val="20"/>
                <w:szCs w:val="20"/>
              </w:rPr>
            </w:pPr>
            <w:r>
              <w:rPr>
                <w:rFonts w:ascii="Muli" w:eastAsia="Muli" w:hAnsi="Muli" w:cs="Muli"/>
                <w:b/>
                <w:color w:val="FFFFFF"/>
                <w:sz w:val="20"/>
                <w:szCs w:val="20"/>
              </w:rPr>
              <w:t xml:space="preserve">High Quality </w:t>
            </w:r>
          </w:p>
          <w:p w14:paraId="4DB1CF73" w14:textId="77777777" w:rsidR="004D3B6D" w:rsidRDefault="003F4555">
            <w:pPr>
              <w:pStyle w:val="normal0"/>
              <w:spacing w:before="100"/>
              <w:ind w:left="90"/>
              <w:rPr>
                <w:rFonts w:ascii="Muli" w:eastAsia="Muli" w:hAnsi="Muli" w:cs="Muli"/>
                <w:b/>
                <w:color w:val="FFFFFF"/>
                <w:sz w:val="20"/>
                <w:szCs w:val="20"/>
              </w:rPr>
            </w:pPr>
            <w:r>
              <w:rPr>
                <w:rFonts w:ascii="Muli" w:eastAsia="Muli" w:hAnsi="Muli" w:cs="Muli"/>
                <w:b/>
                <w:color w:val="FFFFFF"/>
                <w:sz w:val="20"/>
                <w:szCs w:val="20"/>
              </w:rPr>
              <w:t>5</w:t>
            </w:r>
          </w:p>
        </w:tc>
        <w:tc>
          <w:tcPr>
            <w:tcW w:w="2370" w:type="dxa"/>
            <w:shd w:val="clear" w:color="auto" w:fill="2F5496"/>
          </w:tcPr>
          <w:p w14:paraId="397042D9" w14:textId="77777777" w:rsidR="004D3B6D" w:rsidRDefault="003F4555">
            <w:pPr>
              <w:pStyle w:val="normal0"/>
              <w:spacing w:before="100"/>
              <w:ind w:left="135"/>
              <w:rPr>
                <w:rFonts w:ascii="Muli" w:eastAsia="Muli" w:hAnsi="Muli" w:cs="Muli"/>
                <w:b/>
                <w:color w:val="FFFFFF"/>
                <w:sz w:val="20"/>
                <w:szCs w:val="20"/>
              </w:rPr>
            </w:pPr>
            <w:r>
              <w:rPr>
                <w:rFonts w:ascii="Muli" w:eastAsia="Muli" w:hAnsi="Muli" w:cs="Muli"/>
                <w:b/>
                <w:color w:val="FFFFFF"/>
                <w:sz w:val="20"/>
                <w:szCs w:val="20"/>
              </w:rPr>
              <w:t xml:space="preserve">Medium Quality </w:t>
            </w:r>
          </w:p>
          <w:p w14:paraId="22C15108" w14:textId="77777777" w:rsidR="004D3B6D" w:rsidRDefault="003F4555">
            <w:pPr>
              <w:pStyle w:val="normal0"/>
              <w:spacing w:before="100"/>
              <w:ind w:left="135"/>
              <w:rPr>
                <w:rFonts w:ascii="Muli" w:eastAsia="Muli" w:hAnsi="Muli" w:cs="Muli"/>
                <w:b/>
                <w:color w:val="FFFFFF"/>
                <w:sz w:val="20"/>
                <w:szCs w:val="20"/>
              </w:rPr>
            </w:pPr>
            <w:r>
              <w:rPr>
                <w:rFonts w:ascii="Muli" w:eastAsia="Muli" w:hAnsi="Muli" w:cs="Muli"/>
                <w:b/>
                <w:color w:val="FFFFFF"/>
                <w:sz w:val="20"/>
                <w:szCs w:val="20"/>
              </w:rPr>
              <w:t>3</w:t>
            </w:r>
          </w:p>
        </w:tc>
        <w:tc>
          <w:tcPr>
            <w:tcW w:w="2475" w:type="dxa"/>
            <w:shd w:val="clear" w:color="auto" w:fill="2F5496"/>
          </w:tcPr>
          <w:p w14:paraId="6D4E5D58" w14:textId="77777777" w:rsidR="004D3B6D" w:rsidRDefault="003F4555">
            <w:pPr>
              <w:pStyle w:val="normal0"/>
              <w:spacing w:before="100"/>
              <w:ind w:left="135"/>
              <w:rPr>
                <w:rFonts w:ascii="Muli" w:eastAsia="Muli" w:hAnsi="Muli" w:cs="Muli"/>
                <w:b/>
                <w:color w:val="FFFFFF"/>
                <w:sz w:val="20"/>
                <w:szCs w:val="20"/>
              </w:rPr>
            </w:pPr>
            <w:r>
              <w:rPr>
                <w:rFonts w:ascii="Muli" w:eastAsia="Muli" w:hAnsi="Muli" w:cs="Muli"/>
                <w:b/>
                <w:color w:val="FFFFFF"/>
                <w:sz w:val="20"/>
                <w:szCs w:val="20"/>
              </w:rPr>
              <w:t xml:space="preserve">Low Quality </w:t>
            </w:r>
          </w:p>
          <w:p w14:paraId="725FF712" w14:textId="77777777" w:rsidR="004D3B6D" w:rsidRDefault="003F4555">
            <w:pPr>
              <w:pStyle w:val="normal0"/>
              <w:spacing w:before="100"/>
              <w:ind w:left="135"/>
              <w:rPr>
                <w:rFonts w:ascii="Muli" w:eastAsia="Muli" w:hAnsi="Muli" w:cs="Muli"/>
                <w:b/>
                <w:color w:val="FFFFFF"/>
                <w:sz w:val="20"/>
                <w:szCs w:val="20"/>
              </w:rPr>
            </w:pPr>
            <w:r>
              <w:rPr>
                <w:rFonts w:ascii="Muli" w:eastAsia="Muli" w:hAnsi="Muli" w:cs="Muli"/>
                <w:b/>
                <w:color w:val="FFFFFF"/>
                <w:sz w:val="20"/>
                <w:szCs w:val="20"/>
              </w:rPr>
              <w:t>1</w:t>
            </w:r>
          </w:p>
        </w:tc>
      </w:tr>
      <w:tr w:rsidR="004D3B6D" w14:paraId="384037FC" w14:textId="77777777">
        <w:trPr>
          <w:trHeight w:val="1460"/>
        </w:trPr>
        <w:tc>
          <w:tcPr>
            <w:tcW w:w="7440" w:type="dxa"/>
          </w:tcPr>
          <w:p w14:paraId="3247F76E" w14:textId="77777777" w:rsidR="004D3B6D" w:rsidRDefault="003F4555">
            <w:pPr>
              <w:pStyle w:val="normal0"/>
              <w:pBdr>
                <w:top w:val="nil"/>
                <w:left w:val="nil"/>
                <w:bottom w:val="nil"/>
                <w:right w:val="nil"/>
                <w:between w:val="nil"/>
              </w:pBdr>
              <w:spacing w:before="1"/>
              <w:ind w:left="114"/>
              <w:rPr>
                <w:rFonts w:ascii="Muli" w:eastAsia="Muli" w:hAnsi="Muli" w:cs="Muli"/>
                <w:color w:val="000000"/>
                <w:sz w:val="20"/>
                <w:szCs w:val="20"/>
              </w:rPr>
            </w:pPr>
            <w:r>
              <w:rPr>
                <w:rFonts w:ascii="Muli" w:eastAsia="Muli" w:hAnsi="Muli" w:cs="Muli"/>
                <w:b/>
                <w:color w:val="000000"/>
                <w:sz w:val="20"/>
                <w:szCs w:val="20"/>
              </w:rPr>
              <w:t xml:space="preserve">SW1. Phenomena/Problems. </w:t>
            </w:r>
            <w:r>
              <w:rPr>
                <w:rFonts w:ascii="Muli" w:eastAsia="Muli" w:hAnsi="Muli" w:cs="Muli"/>
                <w:color w:val="000000"/>
                <w:sz w:val="20"/>
                <w:szCs w:val="20"/>
              </w:rPr>
              <w:t>Materials provide phenomena/problems that:</w:t>
            </w:r>
          </w:p>
          <w:p w14:paraId="0DEBFD8C" w14:textId="77777777" w:rsidR="004D3B6D" w:rsidRDefault="003F4555">
            <w:pPr>
              <w:pStyle w:val="normal0"/>
              <w:numPr>
                <w:ilvl w:val="0"/>
                <w:numId w:val="3"/>
              </w:numPr>
              <w:pBdr>
                <w:top w:val="nil"/>
                <w:left w:val="nil"/>
                <w:bottom w:val="nil"/>
                <w:right w:val="nil"/>
                <w:between w:val="nil"/>
              </w:pBdr>
              <w:tabs>
                <w:tab w:val="left" w:pos="460"/>
                <w:tab w:val="left" w:pos="461"/>
              </w:tabs>
              <w:spacing w:before="1"/>
              <w:ind w:hanging="345"/>
              <w:rPr>
                <w:rFonts w:ascii="Muli" w:eastAsia="Muli" w:hAnsi="Muli" w:cs="Muli"/>
                <w:color w:val="000000"/>
              </w:rPr>
            </w:pPr>
            <w:r>
              <w:rPr>
                <w:rFonts w:ascii="Muli" w:eastAsia="Muli" w:hAnsi="Muli" w:cs="Muli"/>
                <w:color w:val="000000"/>
                <w:sz w:val="20"/>
                <w:szCs w:val="20"/>
              </w:rPr>
              <w:t>engage students as directly as possible in authentic and relevant experiences.</w:t>
            </w:r>
          </w:p>
          <w:p w14:paraId="316A9B62" w14:textId="77777777" w:rsidR="004D3B6D" w:rsidRDefault="003F4555">
            <w:pPr>
              <w:pStyle w:val="normal0"/>
              <w:numPr>
                <w:ilvl w:val="0"/>
                <w:numId w:val="3"/>
              </w:numPr>
              <w:pBdr>
                <w:top w:val="nil"/>
                <w:left w:val="nil"/>
                <w:bottom w:val="nil"/>
                <w:right w:val="nil"/>
                <w:between w:val="nil"/>
              </w:pBdr>
              <w:tabs>
                <w:tab w:val="left" w:pos="460"/>
                <w:tab w:val="left" w:pos="461"/>
              </w:tabs>
              <w:spacing w:line="242" w:lineRule="auto"/>
              <w:ind w:hanging="345"/>
              <w:rPr>
                <w:rFonts w:ascii="Muli" w:eastAsia="Muli" w:hAnsi="Muli" w:cs="Muli"/>
                <w:color w:val="000000"/>
              </w:rPr>
            </w:pPr>
            <w:r>
              <w:rPr>
                <w:rFonts w:ascii="Muli" w:eastAsia="Muli" w:hAnsi="Muli" w:cs="Muli"/>
                <w:color w:val="000000"/>
                <w:sz w:val="20"/>
                <w:szCs w:val="20"/>
              </w:rPr>
              <w:t>are matched to targeted learning goals.</w:t>
            </w:r>
          </w:p>
          <w:p w14:paraId="61D7C8EE" w14:textId="77777777" w:rsidR="004D3B6D" w:rsidRDefault="003F4555">
            <w:pPr>
              <w:pStyle w:val="normal0"/>
              <w:numPr>
                <w:ilvl w:val="0"/>
                <w:numId w:val="3"/>
              </w:numPr>
              <w:pBdr>
                <w:top w:val="nil"/>
                <w:left w:val="nil"/>
                <w:bottom w:val="nil"/>
                <w:right w:val="nil"/>
                <w:between w:val="nil"/>
              </w:pBdr>
              <w:tabs>
                <w:tab w:val="left" w:pos="460"/>
                <w:tab w:val="left" w:pos="461"/>
              </w:tabs>
              <w:spacing w:line="242" w:lineRule="auto"/>
              <w:ind w:hanging="345"/>
              <w:rPr>
                <w:rFonts w:ascii="Muli" w:eastAsia="Muli" w:hAnsi="Muli" w:cs="Muli"/>
                <w:color w:val="000000"/>
              </w:rPr>
            </w:pPr>
            <w:r>
              <w:rPr>
                <w:rFonts w:ascii="Muli" w:eastAsia="Muli" w:hAnsi="Muli" w:cs="Muli"/>
                <w:color w:val="000000"/>
                <w:sz w:val="20"/>
                <w:szCs w:val="20"/>
              </w:rPr>
              <w:t>can be figured out/solved using scientifically accurate understandings and abilities.</w:t>
            </w:r>
          </w:p>
          <w:p w14:paraId="2E44337F" w14:textId="77777777" w:rsidR="004D3B6D" w:rsidRDefault="003F4555">
            <w:pPr>
              <w:pStyle w:val="normal0"/>
              <w:numPr>
                <w:ilvl w:val="0"/>
                <w:numId w:val="3"/>
              </w:numPr>
              <w:pBdr>
                <w:top w:val="nil"/>
                <w:left w:val="nil"/>
                <w:bottom w:val="nil"/>
                <w:right w:val="nil"/>
                <w:between w:val="nil"/>
              </w:pBdr>
              <w:tabs>
                <w:tab w:val="left" w:pos="460"/>
                <w:tab w:val="left" w:pos="461"/>
              </w:tabs>
              <w:spacing w:before="1"/>
              <w:ind w:right="794" w:hanging="345"/>
              <w:rPr>
                <w:rFonts w:ascii="Muli" w:eastAsia="Muli" w:hAnsi="Muli" w:cs="Muli"/>
                <w:color w:val="000000"/>
              </w:rPr>
            </w:pPr>
            <w:r>
              <w:rPr>
                <w:rFonts w:ascii="Muli" w:eastAsia="Muli" w:hAnsi="Muli" w:cs="Muli"/>
                <w:color w:val="000000"/>
                <w:sz w:val="20"/>
                <w:szCs w:val="20"/>
              </w:rPr>
              <w:t>make connections beyond and to their daily lives in</w:t>
            </w:r>
            <w:r>
              <w:rPr>
                <w:rFonts w:ascii="Muli" w:eastAsia="Muli" w:hAnsi="Muli" w:cs="Muli"/>
                <w:color w:val="000000"/>
                <w:sz w:val="20"/>
                <w:szCs w:val="20"/>
              </w:rPr>
              <w:t>cluding to their homes, neighborhoods, communities, and/or cultures.</w:t>
            </w:r>
          </w:p>
        </w:tc>
        <w:tc>
          <w:tcPr>
            <w:tcW w:w="2370" w:type="dxa"/>
          </w:tcPr>
          <w:p w14:paraId="09784B3C" w14:textId="77777777" w:rsidR="004D3B6D" w:rsidRDefault="003F4555">
            <w:pPr>
              <w:pStyle w:val="normal0"/>
              <w:pBdr>
                <w:top w:val="nil"/>
                <w:left w:val="nil"/>
                <w:bottom w:val="nil"/>
                <w:right w:val="nil"/>
                <w:between w:val="nil"/>
              </w:pBdr>
              <w:spacing w:before="1"/>
              <w:ind w:left="114" w:right="103"/>
              <w:rPr>
                <w:rFonts w:ascii="Muli" w:eastAsia="Muli" w:hAnsi="Muli" w:cs="Muli"/>
                <w:color w:val="000000"/>
                <w:sz w:val="20"/>
                <w:szCs w:val="20"/>
              </w:rPr>
            </w:pPr>
            <w:r>
              <w:rPr>
                <w:rFonts w:ascii="Muli" w:eastAsia="Muli" w:hAnsi="Muli" w:cs="Muli"/>
                <w:color w:val="000000"/>
                <w:sz w:val="20"/>
                <w:szCs w:val="20"/>
              </w:rPr>
              <w:t>Materials consistently offer quality phenomena/ problems sufficient to motivate and drive student learning.</w:t>
            </w:r>
          </w:p>
        </w:tc>
        <w:tc>
          <w:tcPr>
            <w:tcW w:w="2370" w:type="dxa"/>
          </w:tcPr>
          <w:p w14:paraId="66EAE3D5" w14:textId="77777777" w:rsidR="004D3B6D" w:rsidRDefault="003F4555">
            <w:pPr>
              <w:pStyle w:val="normal0"/>
              <w:pBdr>
                <w:top w:val="nil"/>
                <w:left w:val="nil"/>
                <w:bottom w:val="nil"/>
                <w:right w:val="nil"/>
                <w:between w:val="nil"/>
              </w:pBdr>
              <w:spacing w:before="1"/>
              <w:ind w:left="113" w:right="142"/>
              <w:rPr>
                <w:rFonts w:ascii="Muli" w:eastAsia="Muli" w:hAnsi="Muli" w:cs="Muli"/>
                <w:color w:val="000000"/>
                <w:sz w:val="20"/>
                <w:szCs w:val="20"/>
              </w:rPr>
            </w:pPr>
            <w:r>
              <w:rPr>
                <w:rFonts w:ascii="Muli" w:eastAsia="Muli" w:hAnsi="Muli" w:cs="Muli"/>
                <w:color w:val="000000"/>
                <w:sz w:val="20"/>
                <w:szCs w:val="20"/>
              </w:rPr>
              <w:t>Materials sometimes offer quality phenomena/ problems sufficient to motivate and drive student learning.</w:t>
            </w:r>
          </w:p>
        </w:tc>
        <w:tc>
          <w:tcPr>
            <w:tcW w:w="2475" w:type="dxa"/>
          </w:tcPr>
          <w:p w14:paraId="5C335491" w14:textId="77777777" w:rsidR="004D3B6D" w:rsidRDefault="003F4555">
            <w:pPr>
              <w:pStyle w:val="normal0"/>
              <w:pBdr>
                <w:top w:val="nil"/>
                <w:left w:val="nil"/>
                <w:bottom w:val="nil"/>
                <w:right w:val="nil"/>
                <w:between w:val="nil"/>
              </w:pBdr>
              <w:spacing w:before="1"/>
              <w:ind w:left="112" w:right="445"/>
              <w:rPr>
                <w:rFonts w:ascii="Muli" w:eastAsia="Muli" w:hAnsi="Muli" w:cs="Muli"/>
                <w:color w:val="000000"/>
                <w:sz w:val="20"/>
                <w:szCs w:val="20"/>
              </w:rPr>
            </w:pPr>
            <w:r>
              <w:rPr>
                <w:rFonts w:ascii="Muli" w:eastAsia="Muli" w:hAnsi="Muli" w:cs="Muli"/>
                <w:color w:val="000000"/>
                <w:sz w:val="20"/>
                <w:szCs w:val="20"/>
              </w:rPr>
              <w:t>Materials rarely offer quality phenomena/ problems sufficient to motivate and drive student learning.</w:t>
            </w:r>
          </w:p>
        </w:tc>
      </w:tr>
      <w:tr w:rsidR="004D3B6D" w14:paraId="1211A984" w14:textId="77777777">
        <w:trPr>
          <w:trHeight w:val="2180"/>
        </w:trPr>
        <w:tc>
          <w:tcPr>
            <w:tcW w:w="7440" w:type="dxa"/>
          </w:tcPr>
          <w:p w14:paraId="12B09B50" w14:textId="77777777" w:rsidR="004D3B6D" w:rsidRDefault="003F4555">
            <w:pPr>
              <w:pStyle w:val="normal0"/>
              <w:pBdr>
                <w:top w:val="nil"/>
                <w:left w:val="nil"/>
                <w:bottom w:val="nil"/>
                <w:right w:val="nil"/>
                <w:between w:val="nil"/>
              </w:pBdr>
              <w:spacing w:before="1"/>
              <w:ind w:left="114" w:right="157"/>
              <w:rPr>
                <w:rFonts w:ascii="Muli" w:eastAsia="Muli" w:hAnsi="Muli" w:cs="Muli"/>
                <w:color w:val="000000"/>
                <w:sz w:val="20"/>
                <w:szCs w:val="20"/>
              </w:rPr>
            </w:pPr>
            <w:r>
              <w:rPr>
                <w:rFonts w:ascii="Muli" w:eastAsia="Muli" w:hAnsi="Muli" w:cs="Muli"/>
                <w:b/>
                <w:color w:val="1C1C1C"/>
                <w:sz w:val="20"/>
                <w:szCs w:val="20"/>
              </w:rPr>
              <w:lastRenderedPageBreak/>
              <w:t xml:space="preserve">SW2. Three-dimensional Conceptual Framework. </w:t>
            </w:r>
            <w:r>
              <w:rPr>
                <w:rFonts w:ascii="Muli" w:eastAsia="Muli" w:hAnsi="Muli" w:cs="Muli"/>
                <w:color w:val="1C1C1C"/>
                <w:sz w:val="20"/>
                <w:szCs w:val="20"/>
              </w:rPr>
              <w:t>Materials include learning experiences that help students to build scientifically accurate understandings and abilities through opportunities for students to:</w:t>
            </w:r>
          </w:p>
          <w:p w14:paraId="1C42FA98" w14:textId="77777777" w:rsidR="004D3B6D" w:rsidRDefault="003F4555">
            <w:pPr>
              <w:pStyle w:val="normal0"/>
              <w:numPr>
                <w:ilvl w:val="0"/>
                <w:numId w:val="2"/>
              </w:numPr>
              <w:pBdr>
                <w:top w:val="nil"/>
                <w:left w:val="nil"/>
                <w:bottom w:val="nil"/>
                <w:right w:val="nil"/>
                <w:between w:val="nil"/>
              </w:pBdr>
              <w:tabs>
                <w:tab w:val="left" w:pos="474"/>
                <w:tab w:val="left" w:pos="475"/>
              </w:tabs>
              <w:spacing w:line="244" w:lineRule="auto"/>
              <w:ind w:hanging="345"/>
              <w:rPr>
                <w:rFonts w:ascii="Muli" w:eastAsia="Muli" w:hAnsi="Muli" w:cs="Muli"/>
                <w:color w:val="1C1C1C"/>
                <w:sz w:val="20"/>
                <w:szCs w:val="20"/>
              </w:rPr>
            </w:pPr>
            <w:r>
              <w:rPr>
                <w:rFonts w:ascii="Muli" w:eastAsia="Muli" w:hAnsi="Muli" w:cs="Muli"/>
                <w:color w:val="1C1C1C"/>
                <w:sz w:val="20"/>
                <w:szCs w:val="20"/>
              </w:rPr>
              <w:t>link prior knowledge to negotiated new understanding and abilities</w:t>
            </w:r>
          </w:p>
          <w:p w14:paraId="50946B57" w14:textId="77777777" w:rsidR="004D3B6D" w:rsidRDefault="003F4555">
            <w:pPr>
              <w:pStyle w:val="normal0"/>
              <w:numPr>
                <w:ilvl w:val="0"/>
                <w:numId w:val="2"/>
              </w:numPr>
              <w:pBdr>
                <w:top w:val="nil"/>
                <w:left w:val="nil"/>
                <w:bottom w:val="nil"/>
                <w:right w:val="nil"/>
                <w:between w:val="nil"/>
              </w:pBdr>
              <w:tabs>
                <w:tab w:val="left" w:pos="460"/>
                <w:tab w:val="left" w:pos="461"/>
              </w:tabs>
              <w:spacing w:before="1" w:line="242" w:lineRule="auto"/>
              <w:ind w:hanging="345"/>
              <w:rPr>
                <w:rFonts w:ascii="Muli" w:eastAsia="Muli" w:hAnsi="Muli" w:cs="Muli"/>
                <w:color w:val="000000"/>
                <w:sz w:val="20"/>
                <w:szCs w:val="20"/>
              </w:rPr>
            </w:pPr>
            <w:r>
              <w:rPr>
                <w:rFonts w:ascii="Muli" w:eastAsia="Muli" w:hAnsi="Muli" w:cs="Muli"/>
                <w:color w:val="1C1C1C"/>
                <w:sz w:val="20"/>
                <w:szCs w:val="20"/>
              </w:rPr>
              <w:t>use r</w:t>
            </w:r>
            <w:r>
              <w:rPr>
                <w:rFonts w:ascii="Muli" w:eastAsia="Muli" w:hAnsi="Muli" w:cs="Muli"/>
                <w:color w:val="000000"/>
                <w:sz w:val="20"/>
                <w:szCs w:val="20"/>
              </w:rPr>
              <w:t>easoning to connect grade-appropriate SEP, DCI, and CCC elements.</w:t>
            </w:r>
          </w:p>
          <w:p w14:paraId="68E6C570" w14:textId="77777777" w:rsidR="004D3B6D" w:rsidRDefault="003F4555">
            <w:pPr>
              <w:pStyle w:val="normal0"/>
              <w:numPr>
                <w:ilvl w:val="0"/>
                <w:numId w:val="2"/>
              </w:numPr>
              <w:pBdr>
                <w:top w:val="nil"/>
                <w:left w:val="nil"/>
                <w:bottom w:val="nil"/>
                <w:right w:val="nil"/>
                <w:between w:val="nil"/>
              </w:pBdr>
              <w:tabs>
                <w:tab w:val="left" w:pos="460"/>
                <w:tab w:val="left" w:pos="461"/>
              </w:tabs>
              <w:spacing w:line="242" w:lineRule="auto"/>
              <w:ind w:hanging="345"/>
              <w:rPr>
                <w:rFonts w:ascii="Muli" w:eastAsia="Muli" w:hAnsi="Muli" w:cs="Muli"/>
                <w:color w:val="000000"/>
                <w:sz w:val="20"/>
                <w:szCs w:val="20"/>
              </w:rPr>
            </w:pPr>
            <w:r>
              <w:rPr>
                <w:rFonts w:ascii="Muli" w:eastAsia="Muli" w:hAnsi="Muli" w:cs="Muli"/>
                <w:color w:val="000000"/>
                <w:sz w:val="20"/>
                <w:szCs w:val="20"/>
              </w:rPr>
              <w:t>ask and answer questions that link learning over time.</w:t>
            </w:r>
          </w:p>
          <w:p w14:paraId="78315BE9" w14:textId="77777777" w:rsidR="004D3B6D" w:rsidRDefault="003F4555">
            <w:pPr>
              <w:pStyle w:val="normal0"/>
              <w:numPr>
                <w:ilvl w:val="0"/>
                <w:numId w:val="2"/>
              </w:numPr>
              <w:pBdr>
                <w:top w:val="nil"/>
                <w:left w:val="nil"/>
                <w:bottom w:val="nil"/>
                <w:right w:val="nil"/>
                <w:between w:val="nil"/>
              </w:pBdr>
              <w:tabs>
                <w:tab w:val="left" w:pos="460"/>
                <w:tab w:val="left" w:pos="461"/>
              </w:tabs>
              <w:ind w:right="250" w:hanging="345"/>
              <w:rPr>
                <w:rFonts w:ascii="Muli" w:eastAsia="Muli" w:hAnsi="Muli" w:cs="Muli"/>
                <w:color w:val="000000"/>
                <w:sz w:val="20"/>
                <w:szCs w:val="20"/>
              </w:rPr>
            </w:pPr>
            <w:r>
              <w:rPr>
                <w:rFonts w:ascii="Muli" w:eastAsia="Muli" w:hAnsi="Muli" w:cs="Muli"/>
                <w:color w:val="1C1C1C"/>
                <w:sz w:val="20"/>
                <w:szCs w:val="20"/>
              </w:rPr>
              <w:t>negotiate new understandings and abilities by comparing their ideas, their peers’ ideas, and ideas encountered in the learning experien</w:t>
            </w:r>
            <w:r>
              <w:rPr>
                <w:rFonts w:ascii="Muli" w:eastAsia="Muli" w:hAnsi="Muli" w:cs="Muli"/>
                <w:color w:val="1C1C1C"/>
                <w:sz w:val="20"/>
                <w:szCs w:val="20"/>
              </w:rPr>
              <w:t>ce(s).</w:t>
            </w:r>
          </w:p>
          <w:p w14:paraId="189FEE03" w14:textId="77777777" w:rsidR="004D3B6D" w:rsidRDefault="003F4555">
            <w:pPr>
              <w:pStyle w:val="normal0"/>
              <w:numPr>
                <w:ilvl w:val="0"/>
                <w:numId w:val="2"/>
              </w:numPr>
              <w:pBdr>
                <w:top w:val="nil"/>
                <w:left w:val="nil"/>
                <w:bottom w:val="nil"/>
                <w:right w:val="nil"/>
                <w:between w:val="nil"/>
              </w:pBdr>
              <w:tabs>
                <w:tab w:val="left" w:pos="460"/>
                <w:tab w:val="left" w:pos="461"/>
              </w:tabs>
              <w:spacing w:before="2"/>
              <w:ind w:hanging="345"/>
              <w:rPr>
                <w:rFonts w:ascii="Muli" w:eastAsia="Muli" w:hAnsi="Muli" w:cs="Muli"/>
                <w:color w:val="1C1C1C"/>
                <w:sz w:val="20"/>
                <w:szCs w:val="20"/>
              </w:rPr>
            </w:pPr>
            <w:r>
              <w:rPr>
                <w:rFonts w:ascii="Muli" w:eastAsia="Muli" w:hAnsi="Muli" w:cs="Muli"/>
                <w:color w:val="1C1C1C"/>
                <w:sz w:val="20"/>
                <w:szCs w:val="20"/>
              </w:rPr>
              <w:t>apply their understandings and abilities in a variety of ways.</w:t>
            </w:r>
          </w:p>
        </w:tc>
        <w:tc>
          <w:tcPr>
            <w:tcW w:w="2370" w:type="dxa"/>
          </w:tcPr>
          <w:p w14:paraId="4A7AA003" w14:textId="77777777" w:rsidR="004D3B6D" w:rsidRDefault="003F4555">
            <w:pPr>
              <w:pStyle w:val="normal0"/>
              <w:pBdr>
                <w:top w:val="nil"/>
                <w:left w:val="nil"/>
                <w:bottom w:val="nil"/>
                <w:right w:val="nil"/>
                <w:between w:val="nil"/>
              </w:pBdr>
              <w:spacing w:before="1"/>
              <w:ind w:left="114" w:right="188"/>
              <w:rPr>
                <w:rFonts w:ascii="Muli" w:eastAsia="Muli" w:hAnsi="Muli" w:cs="Muli"/>
                <w:color w:val="000000"/>
                <w:sz w:val="20"/>
                <w:szCs w:val="20"/>
              </w:rPr>
            </w:pPr>
            <w:r>
              <w:rPr>
                <w:rFonts w:ascii="Muli" w:eastAsia="Muli" w:hAnsi="Muli" w:cs="Muli"/>
                <w:color w:val="000000"/>
                <w:sz w:val="20"/>
                <w:szCs w:val="20"/>
              </w:rPr>
              <w:t>Materials consistently include learning experiences that help students build from prior experiences to negotiate new understandings and abilities and apply their understandings in a</w:t>
            </w:r>
          </w:p>
          <w:p w14:paraId="5D597266" w14:textId="77777777" w:rsidR="004D3B6D" w:rsidRDefault="003F4555">
            <w:pPr>
              <w:pStyle w:val="normal0"/>
              <w:pBdr>
                <w:top w:val="nil"/>
                <w:left w:val="nil"/>
                <w:bottom w:val="nil"/>
                <w:right w:val="nil"/>
                <w:between w:val="nil"/>
              </w:pBdr>
              <w:ind w:left="114"/>
              <w:rPr>
                <w:rFonts w:ascii="Muli" w:eastAsia="Muli" w:hAnsi="Muli" w:cs="Muli"/>
                <w:color w:val="000000"/>
                <w:sz w:val="20"/>
                <w:szCs w:val="20"/>
              </w:rPr>
            </w:pPr>
            <w:r>
              <w:rPr>
                <w:rFonts w:ascii="Muli" w:eastAsia="Muli" w:hAnsi="Muli" w:cs="Muli"/>
                <w:color w:val="000000"/>
                <w:sz w:val="20"/>
                <w:szCs w:val="20"/>
              </w:rPr>
              <w:t>variety of ways.</w:t>
            </w:r>
          </w:p>
        </w:tc>
        <w:tc>
          <w:tcPr>
            <w:tcW w:w="2370" w:type="dxa"/>
          </w:tcPr>
          <w:p w14:paraId="4B868EB1" w14:textId="77777777" w:rsidR="004D3B6D" w:rsidRDefault="003F4555">
            <w:pPr>
              <w:pStyle w:val="normal0"/>
              <w:pBdr>
                <w:top w:val="nil"/>
                <w:left w:val="nil"/>
                <w:bottom w:val="nil"/>
                <w:right w:val="nil"/>
                <w:between w:val="nil"/>
              </w:pBdr>
              <w:spacing w:before="1"/>
              <w:ind w:left="113" w:right="187"/>
              <w:rPr>
                <w:rFonts w:ascii="Muli" w:eastAsia="Muli" w:hAnsi="Muli" w:cs="Muli"/>
                <w:color w:val="000000"/>
                <w:sz w:val="20"/>
                <w:szCs w:val="20"/>
              </w:rPr>
            </w:pPr>
            <w:r>
              <w:rPr>
                <w:rFonts w:ascii="Muli" w:eastAsia="Muli" w:hAnsi="Muli" w:cs="Muli"/>
                <w:color w:val="000000"/>
                <w:sz w:val="20"/>
                <w:szCs w:val="20"/>
              </w:rPr>
              <w:t>Materials sometimes include learning experiences that help students build from prior experiences to negotiate new understandings and abilities and apply their understandings in a</w:t>
            </w:r>
          </w:p>
          <w:p w14:paraId="041CFBC3" w14:textId="77777777" w:rsidR="004D3B6D" w:rsidRDefault="003F4555">
            <w:pPr>
              <w:pStyle w:val="normal0"/>
              <w:pBdr>
                <w:top w:val="nil"/>
                <w:left w:val="nil"/>
                <w:bottom w:val="nil"/>
                <w:right w:val="nil"/>
                <w:between w:val="nil"/>
              </w:pBdr>
              <w:ind w:left="113"/>
              <w:rPr>
                <w:rFonts w:ascii="Muli" w:eastAsia="Muli" w:hAnsi="Muli" w:cs="Muli"/>
                <w:color w:val="000000"/>
                <w:sz w:val="20"/>
                <w:szCs w:val="20"/>
              </w:rPr>
            </w:pPr>
            <w:r>
              <w:rPr>
                <w:rFonts w:ascii="Muli" w:eastAsia="Muli" w:hAnsi="Muli" w:cs="Muli"/>
                <w:color w:val="000000"/>
                <w:sz w:val="20"/>
                <w:szCs w:val="20"/>
              </w:rPr>
              <w:t>variety of ways.</w:t>
            </w:r>
          </w:p>
        </w:tc>
        <w:tc>
          <w:tcPr>
            <w:tcW w:w="2475" w:type="dxa"/>
          </w:tcPr>
          <w:p w14:paraId="66F32B0C" w14:textId="77777777" w:rsidR="004D3B6D" w:rsidRDefault="003F4555">
            <w:pPr>
              <w:pStyle w:val="normal0"/>
              <w:pBdr>
                <w:top w:val="nil"/>
                <w:left w:val="nil"/>
                <w:bottom w:val="nil"/>
                <w:right w:val="nil"/>
                <w:between w:val="nil"/>
              </w:pBdr>
              <w:spacing w:before="1"/>
              <w:ind w:left="112" w:right="170"/>
              <w:rPr>
                <w:rFonts w:ascii="Muli" w:eastAsia="Muli" w:hAnsi="Muli" w:cs="Muli"/>
                <w:color w:val="000000"/>
                <w:sz w:val="20"/>
                <w:szCs w:val="20"/>
              </w:rPr>
            </w:pPr>
            <w:r>
              <w:rPr>
                <w:rFonts w:ascii="Muli" w:eastAsia="Muli" w:hAnsi="Muli" w:cs="Muli"/>
                <w:color w:val="000000"/>
                <w:sz w:val="20"/>
                <w:szCs w:val="20"/>
              </w:rPr>
              <w:t>Materials rarely include learning experiences that help students build from prior experiences to negotiate new understandings and abilities and apply their understandings in a</w:t>
            </w:r>
          </w:p>
          <w:p w14:paraId="19C768F1" w14:textId="77777777" w:rsidR="004D3B6D" w:rsidRDefault="003F4555">
            <w:pPr>
              <w:pStyle w:val="normal0"/>
              <w:pBdr>
                <w:top w:val="nil"/>
                <w:left w:val="nil"/>
                <w:bottom w:val="nil"/>
                <w:right w:val="nil"/>
                <w:between w:val="nil"/>
              </w:pBdr>
              <w:ind w:left="112"/>
              <w:rPr>
                <w:rFonts w:ascii="Muli" w:eastAsia="Muli" w:hAnsi="Muli" w:cs="Muli"/>
                <w:color w:val="000000"/>
                <w:sz w:val="20"/>
                <w:szCs w:val="20"/>
              </w:rPr>
            </w:pPr>
            <w:r>
              <w:rPr>
                <w:rFonts w:ascii="Muli" w:eastAsia="Muli" w:hAnsi="Muli" w:cs="Muli"/>
                <w:color w:val="000000"/>
                <w:sz w:val="20"/>
                <w:szCs w:val="20"/>
              </w:rPr>
              <w:t>variety of ways.</w:t>
            </w:r>
          </w:p>
        </w:tc>
      </w:tr>
      <w:tr w:rsidR="004D3B6D" w14:paraId="7D0B3920" w14:textId="77777777">
        <w:trPr>
          <w:trHeight w:val="1700"/>
        </w:trPr>
        <w:tc>
          <w:tcPr>
            <w:tcW w:w="7440" w:type="dxa"/>
          </w:tcPr>
          <w:p w14:paraId="4AA0D6C3" w14:textId="77777777" w:rsidR="004D3B6D" w:rsidRDefault="003F4555">
            <w:pPr>
              <w:pStyle w:val="normal0"/>
              <w:pBdr>
                <w:top w:val="nil"/>
                <w:left w:val="nil"/>
                <w:bottom w:val="nil"/>
                <w:right w:val="nil"/>
                <w:between w:val="nil"/>
              </w:pBdr>
              <w:ind w:left="114" w:right="157"/>
              <w:rPr>
                <w:rFonts w:ascii="Muli" w:eastAsia="Muli" w:hAnsi="Muli" w:cs="Muli"/>
                <w:color w:val="000000"/>
                <w:sz w:val="20"/>
                <w:szCs w:val="20"/>
              </w:rPr>
            </w:pPr>
            <w:r>
              <w:rPr>
                <w:rFonts w:ascii="Muli" w:eastAsia="Muli" w:hAnsi="Muli" w:cs="Muli"/>
                <w:b/>
                <w:color w:val="000000"/>
                <w:sz w:val="20"/>
                <w:szCs w:val="20"/>
              </w:rPr>
              <w:t xml:space="preserve">SW3. Prior Knowledge. </w:t>
            </w:r>
            <w:r>
              <w:rPr>
                <w:rFonts w:ascii="Muli" w:eastAsia="Muli" w:hAnsi="Muli" w:cs="Muli"/>
                <w:color w:val="000000"/>
                <w:sz w:val="20"/>
                <w:szCs w:val="20"/>
              </w:rPr>
              <w:t>Materials leverage students’ prior knowledge and experiences to motivate student learning in ways that:</w:t>
            </w:r>
          </w:p>
          <w:p w14:paraId="175BDE52" w14:textId="77777777" w:rsidR="004D3B6D" w:rsidRDefault="003F4555">
            <w:pPr>
              <w:pStyle w:val="normal0"/>
              <w:numPr>
                <w:ilvl w:val="0"/>
                <w:numId w:val="9"/>
              </w:numPr>
              <w:pBdr>
                <w:top w:val="nil"/>
                <w:left w:val="nil"/>
                <w:bottom w:val="nil"/>
                <w:right w:val="nil"/>
                <w:between w:val="nil"/>
              </w:pBdr>
              <w:tabs>
                <w:tab w:val="left" w:pos="474"/>
                <w:tab w:val="left" w:pos="475"/>
              </w:tabs>
              <w:ind w:right="1104" w:hanging="359"/>
              <w:rPr>
                <w:rFonts w:ascii="Muli" w:eastAsia="Muli" w:hAnsi="Muli" w:cs="Muli"/>
                <w:color w:val="000000"/>
              </w:rPr>
            </w:pPr>
            <w:r>
              <w:rPr>
                <w:rFonts w:ascii="Muli" w:eastAsia="Muli" w:hAnsi="Muli" w:cs="Muli"/>
                <w:color w:val="000000"/>
                <w:sz w:val="20"/>
                <w:szCs w:val="20"/>
              </w:rPr>
              <w:t>make visible students’ prior knowledge and experiences related to the phenomena/problems and relevant SEPs, DCIs, and CCCs.</w:t>
            </w:r>
          </w:p>
          <w:p w14:paraId="3A6C9D59" w14:textId="77777777" w:rsidR="004D3B6D" w:rsidRDefault="003F4555">
            <w:pPr>
              <w:pStyle w:val="normal0"/>
              <w:numPr>
                <w:ilvl w:val="0"/>
                <w:numId w:val="9"/>
              </w:numPr>
              <w:pBdr>
                <w:top w:val="nil"/>
                <w:left w:val="nil"/>
                <w:bottom w:val="nil"/>
                <w:right w:val="nil"/>
                <w:between w:val="nil"/>
              </w:pBdr>
              <w:tabs>
                <w:tab w:val="left" w:pos="460"/>
                <w:tab w:val="left" w:pos="461"/>
              </w:tabs>
              <w:ind w:left="460" w:right="293" w:hanging="345"/>
              <w:rPr>
                <w:rFonts w:ascii="Muli" w:eastAsia="Muli" w:hAnsi="Muli" w:cs="Muli"/>
                <w:color w:val="000000"/>
              </w:rPr>
            </w:pPr>
            <w:r>
              <w:rPr>
                <w:rFonts w:ascii="Muli" w:eastAsia="Muli" w:hAnsi="Muli" w:cs="Muli"/>
                <w:color w:val="000000"/>
                <w:sz w:val="20"/>
                <w:szCs w:val="20"/>
              </w:rPr>
              <w:t>revisit students’ early ideas to see how they have changed (or not) as they figure out phenomena/solve problems.</w:t>
            </w:r>
          </w:p>
          <w:p w14:paraId="73DD2397" w14:textId="77777777" w:rsidR="004D3B6D" w:rsidRDefault="003F4555">
            <w:pPr>
              <w:pStyle w:val="normal0"/>
              <w:numPr>
                <w:ilvl w:val="0"/>
                <w:numId w:val="9"/>
              </w:numPr>
              <w:pBdr>
                <w:top w:val="nil"/>
                <w:left w:val="nil"/>
                <w:bottom w:val="nil"/>
                <w:right w:val="nil"/>
                <w:between w:val="nil"/>
              </w:pBdr>
              <w:tabs>
                <w:tab w:val="left" w:pos="460"/>
                <w:tab w:val="left" w:pos="461"/>
              </w:tabs>
              <w:ind w:left="460" w:hanging="345"/>
              <w:rPr>
                <w:rFonts w:ascii="Muli" w:eastAsia="Muli" w:hAnsi="Muli" w:cs="Muli"/>
                <w:color w:val="000000"/>
              </w:rPr>
            </w:pPr>
            <w:r>
              <w:rPr>
                <w:rFonts w:ascii="Muli" w:eastAsia="Muli" w:hAnsi="Muli" w:cs="Muli"/>
                <w:color w:val="000000"/>
                <w:sz w:val="20"/>
                <w:szCs w:val="20"/>
              </w:rPr>
              <w:t>make explicit links to new ideas and practices being developed by students.</w:t>
            </w:r>
          </w:p>
        </w:tc>
        <w:tc>
          <w:tcPr>
            <w:tcW w:w="2370" w:type="dxa"/>
          </w:tcPr>
          <w:p w14:paraId="05AB43E8" w14:textId="77777777" w:rsidR="004D3B6D" w:rsidRDefault="003F4555">
            <w:pPr>
              <w:pStyle w:val="normal0"/>
              <w:pBdr>
                <w:top w:val="nil"/>
                <w:left w:val="nil"/>
                <w:bottom w:val="nil"/>
                <w:right w:val="nil"/>
                <w:between w:val="nil"/>
              </w:pBdr>
              <w:ind w:left="114" w:right="261"/>
              <w:rPr>
                <w:rFonts w:ascii="Muli" w:eastAsia="Muli" w:hAnsi="Muli" w:cs="Muli"/>
                <w:color w:val="000000"/>
                <w:sz w:val="20"/>
                <w:szCs w:val="20"/>
              </w:rPr>
            </w:pPr>
            <w:r>
              <w:rPr>
                <w:rFonts w:ascii="Muli" w:eastAsia="Muli" w:hAnsi="Muli" w:cs="Muli"/>
                <w:color w:val="000000"/>
                <w:sz w:val="20"/>
                <w:szCs w:val="20"/>
              </w:rPr>
              <w:t>Materials consistently leverage student prior knowledge and experiences to motivate their learning.</w:t>
            </w:r>
          </w:p>
        </w:tc>
        <w:tc>
          <w:tcPr>
            <w:tcW w:w="2370" w:type="dxa"/>
          </w:tcPr>
          <w:p w14:paraId="1658CC10" w14:textId="77777777" w:rsidR="004D3B6D" w:rsidRDefault="003F4555">
            <w:pPr>
              <w:pStyle w:val="normal0"/>
              <w:pBdr>
                <w:top w:val="nil"/>
                <w:left w:val="nil"/>
                <w:bottom w:val="nil"/>
                <w:right w:val="nil"/>
                <w:between w:val="nil"/>
              </w:pBdr>
              <w:ind w:left="113" w:right="260"/>
              <w:rPr>
                <w:rFonts w:ascii="Muli" w:eastAsia="Muli" w:hAnsi="Muli" w:cs="Muli"/>
                <w:color w:val="000000"/>
                <w:sz w:val="20"/>
                <w:szCs w:val="20"/>
              </w:rPr>
            </w:pPr>
            <w:r>
              <w:rPr>
                <w:rFonts w:ascii="Muli" w:eastAsia="Muli" w:hAnsi="Muli" w:cs="Muli"/>
                <w:color w:val="000000"/>
                <w:sz w:val="20"/>
                <w:szCs w:val="20"/>
              </w:rPr>
              <w:t>Materials sometimes leverage student prior knowledge and experiences to motivate their learning.</w:t>
            </w:r>
          </w:p>
        </w:tc>
        <w:tc>
          <w:tcPr>
            <w:tcW w:w="2475" w:type="dxa"/>
          </w:tcPr>
          <w:p w14:paraId="67993ECD" w14:textId="77777777" w:rsidR="004D3B6D" w:rsidRDefault="003F4555">
            <w:pPr>
              <w:pStyle w:val="normal0"/>
              <w:pBdr>
                <w:top w:val="nil"/>
                <w:left w:val="nil"/>
                <w:bottom w:val="nil"/>
                <w:right w:val="nil"/>
                <w:between w:val="nil"/>
              </w:pBdr>
              <w:ind w:left="112" w:right="164"/>
              <w:rPr>
                <w:rFonts w:ascii="Muli" w:eastAsia="Muli" w:hAnsi="Muli" w:cs="Muli"/>
                <w:color w:val="000000"/>
                <w:sz w:val="20"/>
                <w:szCs w:val="20"/>
              </w:rPr>
            </w:pPr>
            <w:r>
              <w:rPr>
                <w:rFonts w:ascii="Muli" w:eastAsia="Muli" w:hAnsi="Muli" w:cs="Muli"/>
                <w:color w:val="000000"/>
                <w:sz w:val="20"/>
                <w:szCs w:val="20"/>
              </w:rPr>
              <w:t>Materials rarely leverage student prior knowledge and exper</w:t>
            </w:r>
            <w:r>
              <w:rPr>
                <w:rFonts w:ascii="Muli" w:eastAsia="Muli" w:hAnsi="Muli" w:cs="Muli"/>
                <w:color w:val="000000"/>
                <w:sz w:val="20"/>
                <w:szCs w:val="20"/>
              </w:rPr>
              <w:t>iences and when included, they do not relate to the phenomena or problems.</w:t>
            </w:r>
          </w:p>
        </w:tc>
      </w:tr>
      <w:tr w:rsidR="004D3B6D" w14:paraId="41429307" w14:textId="77777777">
        <w:trPr>
          <w:trHeight w:val="1460"/>
        </w:trPr>
        <w:tc>
          <w:tcPr>
            <w:tcW w:w="7440" w:type="dxa"/>
          </w:tcPr>
          <w:p w14:paraId="329B8E17" w14:textId="77777777" w:rsidR="004D3B6D" w:rsidRDefault="003F4555">
            <w:pPr>
              <w:pStyle w:val="normal0"/>
              <w:pBdr>
                <w:top w:val="nil"/>
                <w:left w:val="nil"/>
                <w:bottom w:val="nil"/>
                <w:right w:val="nil"/>
                <w:between w:val="nil"/>
              </w:pBdr>
              <w:spacing w:before="1" w:line="242" w:lineRule="auto"/>
              <w:ind w:left="114"/>
              <w:rPr>
                <w:rFonts w:ascii="Muli" w:eastAsia="Muli" w:hAnsi="Muli" w:cs="Muli"/>
                <w:color w:val="000000"/>
                <w:sz w:val="20"/>
                <w:szCs w:val="20"/>
              </w:rPr>
            </w:pPr>
            <w:r>
              <w:rPr>
                <w:rFonts w:ascii="Muli" w:eastAsia="Muli" w:hAnsi="Muli" w:cs="Muli"/>
                <w:b/>
                <w:color w:val="000000"/>
                <w:sz w:val="20"/>
                <w:szCs w:val="20"/>
              </w:rPr>
              <w:t>SW4. Metacognitive Abilities</w:t>
            </w:r>
            <w:r>
              <w:rPr>
                <w:rFonts w:ascii="Muli" w:eastAsia="Muli" w:hAnsi="Muli" w:cs="Muli"/>
                <w:color w:val="000000"/>
                <w:sz w:val="20"/>
                <w:szCs w:val="20"/>
              </w:rPr>
              <w:t>. Materials include learning experiences for students to:</w:t>
            </w:r>
          </w:p>
          <w:p w14:paraId="14A6DFCD" w14:textId="77777777" w:rsidR="004D3B6D" w:rsidRDefault="003F4555">
            <w:pPr>
              <w:pStyle w:val="normal0"/>
              <w:numPr>
                <w:ilvl w:val="0"/>
                <w:numId w:val="8"/>
              </w:numPr>
              <w:pBdr>
                <w:top w:val="nil"/>
                <w:left w:val="nil"/>
                <w:bottom w:val="nil"/>
                <w:right w:val="nil"/>
                <w:between w:val="nil"/>
              </w:pBdr>
              <w:tabs>
                <w:tab w:val="left" w:pos="474"/>
                <w:tab w:val="left" w:pos="475"/>
              </w:tabs>
              <w:spacing w:line="242" w:lineRule="auto"/>
              <w:ind w:hanging="359"/>
              <w:rPr>
                <w:rFonts w:ascii="Muli" w:eastAsia="Muli" w:hAnsi="Muli" w:cs="Muli"/>
                <w:color w:val="000000"/>
              </w:rPr>
            </w:pPr>
            <w:r>
              <w:rPr>
                <w:rFonts w:ascii="Muli" w:eastAsia="Muli" w:hAnsi="Muli" w:cs="Muli"/>
                <w:color w:val="000000"/>
                <w:sz w:val="20"/>
                <w:szCs w:val="20"/>
              </w:rPr>
              <w:t>set and monitor their learning in light of the targeted learning goals.</w:t>
            </w:r>
          </w:p>
          <w:p w14:paraId="60E46DF9" w14:textId="77777777" w:rsidR="004D3B6D" w:rsidRDefault="003F4555">
            <w:pPr>
              <w:pStyle w:val="normal0"/>
              <w:numPr>
                <w:ilvl w:val="0"/>
                <w:numId w:val="8"/>
              </w:numPr>
              <w:pBdr>
                <w:top w:val="nil"/>
                <w:left w:val="nil"/>
                <w:bottom w:val="nil"/>
                <w:right w:val="nil"/>
                <w:between w:val="nil"/>
              </w:pBdr>
              <w:tabs>
                <w:tab w:val="left" w:pos="474"/>
                <w:tab w:val="left" w:pos="475"/>
              </w:tabs>
              <w:spacing w:before="1"/>
              <w:ind w:right="1101" w:hanging="359"/>
              <w:rPr>
                <w:color w:val="000000"/>
              </w:rPr>
            </w:pPr>
            <w:r>
              <w:rPr>
                <w:rFonts w:ascii="Muli" w:eastAsia="Muli" w:hAnsi="Muli" w:cs="Muli"/>
                <w:color w:val="000000"/>
                <w:sz w:val="20"/>
                <w:szCs w:val="20"/>
              </w:rPr>
              <w:t xml:space="preserve">consider, over time, </w:t>
            </w:r>
            <w:r>
              <w:rPr>
                <w:rFonts w:ascii="Muli" w:eastAsia="Muli" w:hAnsi="Muli" w:cs="Muli"/>
                <w:b/>
                <w:color w:val="000000"/>
                <w:sz w:val="20"/>
                <w:szCs w:val="20"/>
              </w:rPr>
              <w:t xml:space="preserve">what </w:t>
            </w:r>
            <w:r>
              <w:rPr>
                <w:rFonts w:ascii="Muli" w:eastAsia="Muli" w:hAnsi="Muli" w:cs="Muli"/>
                <w:color w:val="000000"/>
                <w:sz w:val="20"/>
                <w:szCs w:val="20"/>
              </w:rPr>
              <w:t xml:space="preserve">and </w:t>
            </w:r>
            <w:r>
              <w:rPr>
                <w:rFonts w:ascii="Muli" w:eastAsia="Muli" w:hAnsi="Muli" w:cs="Muli"/>
                <w:b/>
                <w:color w:val="000000"/>
                <w:sz w:val="20"/>
                <w:szCs w:val="20"/>
              </w:rPr>
              <w:t xml:space="preserve">how </w:t>
            </w:r>
            <w:r>
              <w:rPr>
                <w:rFonts w:ascii="Muli" w:eastAsia="Muli" w:hAnsi="Muli" w:cs="Muli"/>
                <w:color w:val="000000"/>
                <w:sz w:val="20"/>
                <w:szCs w:val="20"/>
              </w:rPr>
              <w:t>they have learned across the three dimensions.</w:t>
            </w:r>
          </w:p>
          <w:p w14:paraId="365BD3A2" w14:textId="77777777" w:rsidR="004D3B6D" w:rsidRDefault="003F4555">
            <w:pPr>
              <w:pStyle w:val="normal0"/>
              <w:numPr>
                <w:ilvl w:val="0"/>
                <w:numId w:val="8"/>
              </w:numPr>
              <w:pBdr>
                <w:top w:val="nil"/>
                <w:left w:val="nil"/>
                <w:bottom w:val="nil"/>
                <w:right w:val="nil"/>
                <w:between w:val="nil"/>
              </w:pBdr>
              <w:tabs>
                <w:tab w:val="left" w:pos="474"/>
                <w:tab w:val="left" w:pos="475"/>
              </w:tabs>
              <w:spacing w:before="1" w:line="242" w:lineRule="auto"/>
              <w:ind w:hanging="359"/>
              <w:rPr>
                <w:rFonts w:ascii="Muli" w:eastAsia="Muli" w:hAnsi="Muli" w:cs="Muli"/>
                <w:color w:val="000000"/>
              </w:rPr>
            </w:pPr>
            <w:r>
              <w:rPr>
                <w:rFonts w:ascii="Muli" w:eastAsia="Muli" w:hAnsi="Muli" w:cs="Muli"/>
                <w:color w:val="000000"/>
                <w:sz w:val="20"/>
                <w:szCs w:val="20"/>
              </w:rPr>
              <w:t>articulate how the three dimensions helped them figure out phenomena/solve</w:t>
            </w:r>
          </w:p>
          <w:p w14:paraId="7BD2B016" w14:textId="77777777" w:rsidR="004D3B6D" w:rsidRDefault="003F4555">
            <w:pPr>
              <w:pStyle w:val="normal0"/>
              <w:pBdr>
                <w:top w:val="nil"/>
                <w:left w:val="nil"/>
                <w:bottom w:val="nil"/>
                <w:right w:val="nil"/>
                <w:between w:val="nil"/>
              </w:pBdr>
              <w:ind w:left="474"/>
              <w:rPr>
                <w:rFonts w:ascii="Muli" w:eastAsia="Muli" w:hAnsi="Muli" w:cs="Muli"/>
                <w:color w:val="000000"/>
                <w:sz w:val="20"/>
                <w:szCs w:val="20"/>
              </w:rPr>
            </w:pPr>
            <w:r>
              <w:rPr>
                <w:rFonts w:ascii="Muli" w:eastAsia="Muli" w:hAnsi="Muli" w:cs="Muli"/>
                <w:color w:val="000000"/>
                <w:sz w:val="20"/>
                <w:szCs w:val="20"/>
              </w:rPr>
              <w:t>problems.</w:t>
            </w:r>
          </w:p>
        </w:tc>
        <w:tc>
          <w:tcPr>
            <w:tcW w:w="2370" w:type="dxa"/>
          </w:tcPr>
          <w:p w14:paraId="5CBA2BB5" w14:textId="77777777" w:rsidR="004D3B6D" w:rsidRDefault="003F4555">
            <w:pPr>
              <w:pStyle w:val="normal0"/>
              <w:pBdr>
                <w:top w:val="nil"/>
                <w:left w:val="nil"/>
                <w:bottom w:val="nil"/>
                <w:right w:val="nil"/>
                <w:between w:val="nil"/>
              </w:pBdr>
              <w:spacing w:before="1"/>
              <w:ind w:left="114" w:right="280"/>
              <w:rPr>
                <w:rFonts w:ascii="Muli" w:eastAsia="Muli" w:hAnsi="Muli" w:cs="Muli"/>
                <w:color w:val="000000"/>
                <w:sz w:val="20"/>
                <w:szCs w:val="20"/>
              </w:rPr>
            </w:pPr>
            <w:r>
              <w:rPr>
                <w:rFonts w:ascii="Muli" w:eastAsia="Muli" w:hAnsi="Muli" w:cs="Muli"/>
                <w:color w:val="000000"/>
                <w:sz w:val="20"/>
                <w:szCs w:val="20"/>
              </w:rPr>
              <w:t>The materials provide students with regular, explicit opportunities to consider how their learning experiences</w:t>
            </w:r>
          </w:p>
          <w:p w14:paraId="6D2BB85C" w14:textId="77777777" w:rsidR="004D3B6D" w:rsidRDefault="003F4555">
            <w:pPr>
              <w:pStyle w:val="normal0"/>
              <w:pBdr>
                <w:top w:val="nil"/>
                <w:left w:val="nil"/>
                <w:bottom w:val="nil"/>
                <w:right w:val="nil"/>
                <w:between w:val="nil"/>
              </w:pBdr>
              <w:ind w:left="114"/>
              <w:rPr>
                <w:rFonts w:ascii="Muli" w:eastAsia="Muli" w:hAnsi="Muli" w:cs="Muli"/>
                <w:color w:val="000000"/>
                <w:sz w:val="20"/>
                <w:szCs w:val="20"/>
              </w:rPr>
            </w:pPr>
            <w:r>
              <w:rPr>
                <w:rFonts w:ascii="Muli" w:eastAsia="Muli" w:hAnsi="Muli" w:cs="Muli"/>
                <w:color w:val="000000"/>
                <w:sz w:val="20"/>
                <w:szCs w:val="20"/>
              </w:rPr>
              <w:t>changed their thinking.</w:t>
            </w:r>
          </w:p>
        </w:tc>
        <w:tc>
          <w:tcPr>
            <w:tcW w:w="2370" w:type="dxa"/>
          </w:tcPr>
          <w:p w14:paraId="414C9A0F" w14:textId="77777777" w:rsidR="004D3B6D" w:rsidRDefault="003F4555">
            <w:pPr>
              <w:pStyle w:val="normal0"/>
              <w:pBdr>
                <w:top w:val="nil"/>
                <w:left w:val="nil"/>
                <w:bottom w:val="nil"/>
                <w:right w:val="nil"/>
                <w:between w:val="nil"/>
              </w:pBdr>
              <w:spacing w:before="1"/>
              <w:ind w:left="113" w:right="166"/>
              <w:rPr>
                <w:rFonts w:ascii="Muli" w:eastAsia="Muli" w:hAnsi="Muli" w:cs="Muli"/>
                <w:color w:val="000000"/>
                <w:sz w:val="20"/>
                <w:szCs w:val="20"/>
              </w:rPr>
            </w:pPr>
            <w:r>
              <w:rPr>
                <w:rFonts w:ascii="Muli" w:eastAsia="Muli" w:hAnsi="Muli" w:cs="Muli"/>
                <w:color w:val="000000"/>
                <w:sz w:val="20"/>
                <w:szCs w:val="20"/>
              </w:rPr>
              <w:t>The materials provide students with some opportunities to consider how their learning experiences changed</w:t>
            </w:r>
          </w:p>
          <w:p w14:paraId="32BEF602" w14:textId="77777777" w:rsidR="004D3B6D" w:rsidRDefault="003F4555">
            <w:pPr>
              <w:pStyle w:val="normal0"/>
              <w:pBdr>
                <w:top w:val="nil"/>
                <w:left w:val="nil"/>
                <w:bottom w:val="nil"/>
                <w:right w:val="nil"/>
                <w:between w:val="nil"/>
              </w:pBdr>
              <w:ind w:left="113"/>
              <w:rPr>
                <w:rFonts w:ascii="Muli" w:eastAsia="Muli" w:hAnsi="Muli" w:cs="Muli"/>
                <w:color w:val="000000"/>
                <w:sz w:val="20"/>
                <w:szCs w:val="20"/>
              </w:rPr>
            </w:pPr>
            <w:r>
              <w:rPr>
                <w:rFonts w:ascii="Muli" w:eastAsia="Muli" w:hAnsi="Muli" w:cs="Muli"/>
                <w:color w:val="000000"/>
                <w:sz w:val="20"/>
                <w:szCs w:val="20"/>
              </w:rPr>
              <w:t>their thinking.</w:t>
            </w:r>
          </w:p>
        </w:tc>
        <w:tc>
          <w:tcPr>
            <w:tcW w:w="2475" w:type="dxa"/>
          </w:tcPr>
          <w:p w14:paraId="62F08C48" w14:textId="77777777" w:rsidR="004D3B6D" w:rsidRDefault="003F4555">
            <w:pPr>
              <w:pStyle w:val="normal0"/>
              <w:pBdr>
                <w:top w:val="nil"/>
                <w:left w:val="nil"/>
                <w:bottom w:val="nil"/>
                <w:right w:val="nil"/>
                <w:between w:val="nil"/>
              </w:pBdr>
              <w:spacing w:before="1"/>
              <w:ind w:left="112" w:right="93"/>
              <w:rPr>
                <w:rFonts w:ascii="Muli" w:eastAsia="Muli" w:hAnsi="Muli" w:cs="Muli"/>
                <w:color w:val="000000"/>
                <w:sz w:val="20"/>
                <w:szCs w:val="20"/>
              </w:rPr>
            </w:pPr>
            <w:r>
              <w:rPr>
                <w:rFonts w:ascii="Muli" w:eastAsia="Muli" w:hAnsi="Muli" w:cs="Muli"/>
                <w:color w:val="000000"/>
                <w:sz w:val="20"/>
                <w:szCs w:val="20"/>
              </w:rPr>
              <w:t>The materials provide few opportunities for students to consider how their learning experiences changed their thinking.</w:t>
            </w:r>
          </w:p>
        </w:tc>
      </w:tr>
      <w:tr w:rsidR="004D3B6D" w14:paraId="61E01CF1" w14:textId="77777777">
        <w:trPr>
          <w:trHeight w:val="2180"/>
        </w:trPr>
        <w:tc>
          <w:tcPr>
            <w:tcW w:w="7440" w:type="dxa"/>
          </w:tcPr>
          <w:p w14:paraId="320F4A76" w14:textId="77777777" w:rsidR="004D3B6D" w:rsidRDefault="003F4555">
            <w:pPr>
              <w:pStyle w:val="normal0"/>
              <w:pBdr>
                <w:top w:val="nil"/>
                <w:left w:val="nil"/>
                <w:bottom w:val="nil"/>
                <w:right w:val="nil"/>
                <w:between w:val="nil"/>
              </w:pBdr>
              <w:spacing w:before="1"/>
              <w:ind w:left="114" w:right="254"/>
              <w:rPr>
                <w:rFonts w:ascii="Muli" w:eastAsia="Muli" w:hAnsi="Muli" w:cs="Muli"/>
                <w:color w:val="000000"/>
                <w:sz w:val="20"/>
                <w:szCs w:val="20"/>
              </w:rPr>
            </w:pPr>
            <w:r>
              <w:rPr>
                <w:rFonts w:ascii="Muli" w:eastAsia="Muli" w:hAnsi="Muli" w:cs="Muli"/>
                <w:b/>
                <w:color w:val="000000"/>
                <w:sz w:val="20"/>
                <w:szCs w:val="20"/>
              </w:rPr>
              <w:lastRenderedPageBreak/>
              <w:t xml:space="preserve">SW5. Equitable Learning Opportunities: </w:t>
            </w:r>
            <w:r>
              <w:rPr>
                <w:rFonts w:ascii="Muli" w:eastAsia="Muli" w:hAnsi="Muli" w:cs="Muli"/>
                <w:color w:val="000000"/>
                <w:sz w:val="20"/>
                <w:szCs w:val="20"/>
              </w:rPr>
              <w:t xml:space="preserve">Materials ensure that </w:t>
            </w:r>
            <w:r>
              <w:rPr>
                <w:rFonts w:ascii="Muli" w:eastAsia="Muli" w:hAnsi="Muli" w:cs="Muli"/>
                <w:b/>
                <w:i/>
                <w:color w:val="000000"/>
                <w:sz w:val="20"/>
                <w:szCs w:val="20"/>
              </w:rPr>
              <w:t xml:space="preserve">all </w:t>
            </w:r>
            <w:r>
              <w:rPr>
                <w:rFonts w:ascii="Muli" w:eastAsia="Muli" w:hAnsi="Muli" w:cs="Muli"/>
                <w:color w:val="000000"/>
                <w:sz w:val="20"/>
                <w:szCs w:val="20"/>
              </w:rPr>
              <w:t>students, including those from non-dominant groups and with diverse learning needs, have access to the targeted learning goals and experiences, including:</w:t>
            </w:r>
          </w:p>
          <w:p w14:paraId="0FA85F52" w14:textId="77777777" w:rsidR="004D3B6D" w:rsidRDefault="003F4555">
            <w:pPr>
              <w:pStyle w:val="normal0"/>
              <w:numPr>
                <w:ilvl w:val="0"/>
                <w:numId w:val="6"/>
              </w:numPr>
              <w:pBdr>
                <w:top w:val="nil"/>
                <w:left w:val="nil"/>
                <w:bottom w:val="nil"/>
                <w:right w:val="nil"/>
                <w:between w:val="nil"/>
              </w:pBdr>
              <w:tabs>
                <w:tab w:val="left" w:pos="474"/>
                <w:tab w:val="left" w:pos="475"/>
              </w:tabs>
              <w:ind w:right="120" w:hanging="359"/>
              <w:rPr>
                <w:rFonts w:ascii="Muli" w:eastAsia="Muli" w:hAnsi="Muli" w:cs="Muli"/>
                <w:color w:val="000000"/>
              </w:rPr>
            </w:pPr>
            <w:r>
              <w:rPr>
                <w:rFonts w:ascii="Muli" w:eastAsia="Muli" w:hAnsi="Muli" w:cs="Muli"/>
                <w:color w:val="000000"/>
                <w:sz w:val="20"/>
                <w:szCs w:val="20"/>
              </w:rPr>
              <w:t>appropriate reading, writing, listening, and/or speaking alternatives for students who are English la</w:t>
            </w:r>
            <w:r>
              <w:rPr>
                <w:rFonts w:ascii="Muli" w:eastAsia="Muli" w:hAnsi="Muli" w:cs="Muli"/>
                <w:color w:val="000000"/>
                <w:sz w:val="20"/>
                <w:szCs w:val="20"/>
              </w:rPr>
              <w:t>nguage learners, have special needs, read below the grade level, or have high interest and have already met the intended learning goals.</w:t>
            </w:r>
          </w:p>
          <w:p w14:paraId="495D8715" w14:textId="77777777" w:rsidR="004D3B6D" w:rsidRDefault="003F4555">
            <w:pPr>
              <w:pStyle w:val="normal0"/>
              <w:numPr>
                <w:ilvl w:val="0"/>
                <w:numId w:val="6"/>
              </w:numPr>
              <w:pBdr>
                <w:top w:val="nil"/>
                <w:left w:val="nil"/>
                <w:bottom w:val="nil"/>
                <w:right w:val="nil"/>
                <w:between w:val="nil"/>
              </w:pBdr>
              <w:tabs>
                <w:tab w:val="left" w:pos="474"/>
                <w:tab w:val="left" w:pos="475"/>
              </w:tabs>
              <w:spacing w:before="2" w:line="242" w:lineRule="auto"/>
              <w:ind w:hanging="359"/>
              <w:rPr>
                <w:rFonts w:ascii="Muli" w:eastAsia="Muli" w:hAnsi="Muli" w:cs="Muli"/>
                <w:color w:val="000000"/>
              </w:rPr>
            </w:pPr>
            <w:r>
              <w:rPr>
                <w:rFonts w:ascii="Muli" w:eastAsia="Muli" w:hAnsi="Muli" w:cs="Muli"/>
                <w:color w:val="000000"/>
                <w:sz w:val="20"/>
                <w:szCs w:val="20"/>
              </w:rPr>
              <w:t>culturally-relevant contexts and examples that support all students.</w:t>
            </w:r>
          </w:p>
          <w:p w14:paraId="2414169C" w14:textId="77777777" w:rsidR="004D3B6D" w:rsidRDefault="003F4555">
            <w:pPr>
              <w:pStyle w:val="normal0"/>
              <w:numPr>
                <w:ilvl w:val="0"/>
                <w:numId w:val="6"/>
              </w:numPr>
              <w:pBdr>
                <w:top w:val="nil"/>
                <w:left w:val="nil"/>
                <w:bottom w:val="nil"/>
                <w:right w:val="nil"/>
                <w:between w:val="nil"/>
              </w:pBdr>
              <w:tabs>
                <w:tab w:val="left" w:pos="474"/>
                <w:tab w:val="left" w:pos="475"/>
              </w:tabs>
              <w:spacing w:line="242" w:lineRule="auto"/>
              <w:ind w:hanging="359"/>
              <w:rPr>
                <w:rFonts w:ascii="Muli" w:eastAsia="Muli" w:hAnsi="Muli" w:cs="Muli"/>
                <w:color w:val="000000"/>
              </w:rPr>
            </w:pPr>
            <w:r>
              <w:rPr>
                <w:rFonts w:ascii="Muli" w:eastAsia="Muli" w:hAnsi="Muli" w:cs="Muli"/>
                <w:color w:val="000000"/>
                <w:sz w:val="20"/>
                <w:szCs w:val="20"/>
              </w:rPr>
              <w:t>opportunities to cultivate interest and confidence as scientists and engineers for</w:t>
            </w:r>
          </w:p>
          <w:p w14:paraId="31B41A51" w14:textId="77777777" w:rsidR="004D3B6D" w:rsidRDefault="003F4555">
            <w:pPr>
              <w:pStyle w:val="normal0"/>
              <w:pBdr>
                <w:top w:val="nil"/>
                <w:left w:val="nil"/>
                <w:bottom w:val="nil"/>
                <w:right w:val="nil"/>
                <w:between w:val="nil"/>
              </w:pBdr>
              <w:ind w:left="474"/>
              <w:rPr>
                <w:rFonts w:ascii="Muli" w:eastAsia="Muli" w:hAnsi="Muli" w:cs="Muli"/>
                <w:color w:val="000000"/>
                <w:sz w:val="20"/>
                <w:szCs w:val="20"/>
              </w:rPr>
            </w:pPr>
            <w:r>
              <w:rPr>
                <w:rFonts w:ascii="Muli" w:eastAsia="Muli" w:hAnsi="Muli" w:cs="Muli"/>
                <w:color w:val="000000"/>
                <w:sz w:val="20"/>
                <w:szCs w:val="20"/>
              </w:rPr>
              <w:t>all students.</w:t>
            </w:r>
          </w:p>
        </w:tc>
        <w:tc>
          <w:tcPr>
            <w:tcW w:w="2370" w:type="dxa"/>
          </w:tcPr>
          <w:p w14:paraId="65625F61" w14:textId="77777777" w:rsidR="004D3B6D" w:rsidRDefault="003F4555">
            <w:pPr>
              <w:pStyle w:val="normal0"/>
              <w:pBdr>
                <w:top w:val="nil"/>
                <w:left w:val="nil"/>
                <w:bottom w:val="nil"/>
                <w:right w:val="nil"/>
                <w:between w:val="nil"/>
              </w:pBdr>
              <w:spacing w:before="1"/>
              <w:ind w:left="114" w:right="233"/>
              <w:rPr>
                <w:rFonts w:ascii="Muli" w:eastAsia="Muli" w:hAnsi="Muli" w:cs="Muli"/>
                <w:color w:val="000000"/>
                <w:sz w:val="20"/>
                <w:szCs w:val="20"/>
              </w:rPr>
            </w:pPr>
            <w:r>
              <w:rPr>
                <w:rFonts w:ascii="Muli" w:eastAsia="Muli" w:hAnsi="Muli" w:cs="Muli"/>
                <w:color w:val="000000"/>
                <w:sz w:val="20"/>
                <w:szCs w:val="20"/>
              </w:rPr>
              <w:t>Most learning experiences in materials are designed such that students can engage meaningfully in a variety of ways, with multiple access points, and with supp</w:t>
            </w:r>
            <w:r>
              <w:rPr>
                <w:rFonts w:ascii="Muli" w:eastAsia="Muli" w:hAnsi="Muli" w:cs="Muli"/>
                <w:color w:val="000000"/>
                <w:sz w:val="20"/>
                <w:szCs w:val="20"/>
              </w:rPr>
              <w:t>orts for students.</w:t>
            </w:r>
          </w:p>
        </w:tc>
        <w:tc>
          <w:tcPr>
            <w:tcW w:w="2370" w:type="dxa"/>
          </w:tcPr>
          <w:p w14:paraId="09F1F0CC" w14:textId="77777777" w:rsidR="004D3B6D" w:rsidRDefault="003F4555">
            <w:pPr>
              <w:pStyle w:val="normal0"/>
              <w:pBdr>
                <w:top w:val="nil"/>
                <w:left w:val="nil"/>
                <w:bottom w:val="nil"/>
                <w:right w:val="nil"/>
                <w:between w:val="nil"/>
              </w:pBdr>
              <w:spacing w:before="1"/>
              <w:ind w:left="113" w:right="232"/>
              <w:rPr>
                <w:rFonts w:ascii="Muli" w:eastAsia="Muli" w:hAnsi="Muli" w:cs="Muli"/>
                <w:color w:val="000000"/>
                <w:sz w:val="20"/>
                <w:szCs w:val="20"/>
              </w:rPr>
            </w:pPr>
            <w:r>
              <w:rPr>
                <w:rFonts w:ascii="Muli" w:eastAsia="Muli" w:hAnsi="Muli" w:cs="Muli"/>
                <w:color w:val="000000"/>
                <w:sz w:val="20"/>
                <w:szCs w:val="20"/>
              </w:rPr>
              <w:t>Some learning experiences in materials are designed such that students can engage meaningfully in a variety of ways, with multiple access points, and with supports for students</w:t>
            </w:r>
          </w:p>
        </w:tc>
        <w:tc>
          <w:tcPr>
            <w:tcW w:w="2475" w:type="dxa"/>
          </w:tcPr>
          <w:p w14:paraId="21AF6C72" w14:textId="77777777" w:rsidR="004D3B6D" w:rsidRDefault="003F4555">
            <w:pPr>
              <w:pStyle w:val="normal0"/>
              <w:pBdr>
                <w:top w:val="nil"/>
                <w:left w:val="nil"/>
                <w:bottom w:val="nil"/>
                <w:right w:val="nil"/>
                <w:between w:val="nil"/>
              </w:pBdr>
              <w:spacing w:before="1"/>
              <w:ind w:left="112" w:right="170"/>
              <w:rPr>
                <w:rFonts w:ascii="Muli" w:eastAsia="Muli" w:hAnsi="Muli" w:cs="Muli"/>
                <w:color w:val="000000"/>
                <w:sz w:val="20"/>
                <w:szCs w:val="20"/>
              </w:rPr>
            </w:pPr>
            <w:r>
              <w:rPr>
                <w:rFonts w:ascii="Muli" w:eastAsia="Muli" w:hAnsi="Muli" w:cs="Muli"/>
                <w:color w:val="000000"/>
                <w:sz w:val="20"/>
                <w:szCs w:val="20"/>
              </w:rPr>
              <w:t>Few learning experiences in materials are designed such that students can engage meaningfully in a variety of ways, with multiple access points, and with supports for students.</w:t>
            </w:r>
          </w:p>
        </w:tc>
      </w:tr>
    </w:tbl>
    <w:p w14:paraId="6DC326FC" w14:textId="77777777" w:rsidR="004D3B6D" w:rsidRDefault="004D3B6D">
      <w:pPr>
        <w:pStyle w:val="normal0"/>
        <w:rPr>
          <w:sz w:val="20"/>
          <w:szCs w:val="20"/>
        </w:rPr>
      </w:pPr>
    </w:p>
    <w:p w14:paraId="72BB7ECA" w14:textId="77777777" w:rsidR="004D3B6D" w:rsidRDefault="004D3B6D">
      <w:pPr>
        <w:pStyle w:val="normal0"/>
        <w:spacing w:before="147"/>
        <w:rPr>
          <w:rFonts w:ascii="Muli" w:eastAsia="Muli" w:hAnsi="Muli" w:cs="Muli"/>
          <w:b/>
          <w:color w:val="FF126D"/>
          <w:sz w:val="28"/>
          <w:szCs w:val="28"/>
        </w:rPr>
      </w:pPr>
    </w:p>
    <w:p w14:paraId="1DFC054B" w14:textId="77777777" w:rsidR="003F4555" w:rsidRDefault="003F4555">
      <w:pPr>
        <w:rPr>
          <w:rFonts w:ascii="Muli" w:eastAsia="Muli" w:hAnsi="Muli" w:cs="Muli"/>
          <w:b/>
          <w:color w:val="FF126D"/>
          <w:sz w:val="28"/>
          <w:szCs w:val="28"/>
        </w:rPr>
      </w:pPr>
      <w:r>
        <w:rPr>
          <w:rFonts w:ascii="Muli" w:eastAsia="Muli" w:hAnsi="Muli" w:cs="Muli"/>
          <w:b/>
          <w:color w:val="FF126D"/>
          <w:sz w:val="28"/>
          <w:szCs w:val="28"/>
        </w:rPr>
        <w:br w:type="page"/>
      </w:r>
    </w:p>
    <w:p w14:paraId="6863D61A" w14:textId="77777777" w:rsidR="004D3B6D" w:rsidRDefault="003F4555">
      <w:pPr>
        <w:pStyle w:val="normal0"/>
        <w:spacing w:before="147"/>
        <w:rPr>
          <w:rFonts w:ascii="Muli" w:eastAsia="Muli" w:hAnsi="Muli" w:cs="Muli"/>
          <w:b/>
          <w:color w:val="FF126D"/>
          <w:sz w:val="28"/>
          <w:szCs w:val="28"/>
        </w:rPr>
      </w:pPr>
      <w:r>
        <w:rPr>
          <w:rFonts w:ascii="Muli" w:eastAsia="Muli" w:hAnsi="Muli" w:cs="Muli"/>
          <w:b/>
          <w:color w:val="FF126D"/>
          <w:sz w:val="28"/>
          <w:szCs w:val="28"/>
        </w:rPr>
        <w:lastRenderedPageBreak/>
        <w:t>Designed for NGSS: Student Work Rubric</w:t>
      </w:r>
    </w:p>
    <w:p w14:paraId="591984B3" w14:textId="77777777" w:rsidR="004D3B6D" w:rsidRDefault="003F4555">
      <w:pPr>
        <w:pStyle w:val="normal0"/>
        <w:spacing w:before="147"/>
        <w:rPr>
          <w:rFonts w:ascii="Muli" w:eastAsia="Muli" w:hAnsi="Muli" w:cs="Muli"/>
          <w:b/>
          <w:sz w:val="20"/>
          <w:szCs w:val="20"/>
        </w:rPr>
      </w:pPr>
      <w:r>
        <w:rPr>
          <w:rFonts w:ascii="Muli" w:eastAsia="Muli" w:hAnsi="Muli" w:cs="Muli"/>
          <w:b/>
          <w:sz w:val="20"/>
          <w:szCs w:val="20"/>
        </w:rPr>
        <w:t>Analyze Evidence</w:t>
      </w:r>
    </w:p>
    <w:p w14:paraId="4304BE63" w14:textId="77777777" w:rsidR="004D3B6D" w:rsidRDefault="003F4555">
      <w:pPr>
        <w:pStyle w:val="normal0"/>
        <w:spacing w:before="147"/>
        <w:rPr>
          <w:b/>
          <w:color w:val="15A798"/>
          <w:sz w:val="28"/>
          <w:szCs w:val="28"/>
        </w:rPr>
      </w:pPr>
      <w:r>
        <w:rPr>
          <w:rFonts w:ascii="Muli" w:eastAsia="Muli" w:hAnsi="Muli" w:cs="Muli"/>
          <w:b/>
          <w:sz w:val="20"/>
          <w:szCs w:val="20"/>
        </w:rPr>
        <w:t>Directions:</w:t>
      </w:r>
    </w:p>
    <w:p w14:paraId="2808C35E" w14:textId="77777777" w:rsidR="004D3B6D" w:rsidRDefault="003F4555">
      <w:pPr>
        <w:pStyle w:val="normal0"/>
        <w:numPr>
          <w:ilvl w:val="1"/>
          <w:numId w:val="4"/>
        </w:numPr>
        <w:pBdr>
          <w:top w:val="nil"/>
          <w:left w:val="nil"/>
          <w:bottom w:val="nil"/>
          <w:right w:val="nil"/>
          <w:between w:val="nil"/>
        </w:pBdr>
        <w:tabs>
          <w:tab w:val="left" w:pos="810"/>
        </w:tabs>
        <w:spacing w:line="242" w:lineRule="auto"/>
        <w:ind w:left="810" w:hanging="360"/>
        <w:rPr>
          <w:rFonts w:ascii="Muli" w:eastAsia="Muli" w:hAnsi="Muli" w:cs="Muli"/>
          <w:color w:val="000000"/>
          <w:sz w:val="20"/>
          <w:szCs w:val="20"/>
        </w:rPr>
      </w:pPr>
      <w:r>
        <w:rPr>
          <w:rFonts w:ascii="Muli" w:eastAsia="Muli" w:hAnsi="Muli" w:cs="Muli"/>
          <w:color w:val="000000"/>
          <w:sz w:val="20"/>
          <w:szCs w:val="20"/>
        </w:rPr>
        <w:t xml:space="preserve">Review the Designed for NGSS: Student Work </w:t>
      </w:r>
      <w:r>
        <w:rPr>
          <w:rFonts w:ascii="Muli" w:eastAsia="Muli" w:hAnsi="Muli" w:cs="Muli"/>
          <w:sz w:val="20"/>
          <w:szCs w:val="20"/>
        </w:rPr>
        <w:t>R</w:t>
      </w:r>
      <w:r>
        <w:rPr>
          <w:rFonts w:ascii="Muli" w:eastAsia="Muli" w:hAnsi="Muli" w:cs="Muli"/>
          <w:color w:val="000000"/>
          <w:sz w:val="20"/>
          <w:szCs w:val="20"/>
        </w:rPr>
        <w:t>ubric.</w:t>
      </w:r>
    </w:p>
    <w:p w14:paraId="733BBA19" w14:textId="77777777" w:rsidR="004D3B6D" w:rsidRDefault="003F4555">
      <w:pPr>
        <w:pStyle w:val="normal0"/>
        <w:numPr>
          <w:ilvl w:val="1"/>
          <w:numId w:val="4"/>
        </w:numPr>
        <w:pBdr>
          <w:top w:val="nil"/>
          <w:left w:val="nil"/>
          <w:bottom w:val="nil"/>
          <w:right w:val="nil"/>
          <w:between w:val="nil"/>
        </w:pBdr>
        <w:tabs>
          <w:tab w:val="left" w:pos="810"/>
        </w:tabs>
        <w:spacing w:line="242" w:lineRule="auto"/>
        <w:ind w:left="810" w:hanging="360"/>
        <w:rPr>
          <w:rFonts w:ascii="Muli" w:eastAsia="Muli" w:hAnsi="Muli" w:cs="Muli"/>
          <w:color w:val="000000"/>
          <w:sz w:val="20"/>
          <w:szCs w:val="20"/>
        </w:rPr>
      </w:pPr>
      <w:r>
        <w:rPr>
          <w:rFonts w:ascii="Muli" w:eastAsia="Muli" w:hAnsi="Muli" w:cs="Muli"/>
          <w:color w:val="000000"/>
          <w:sz w:val="20"/>
          <w:szCs w:val="20"/>
        </w:rPr>
        <w:t>Reflect on the evidence (or lack of evidence) that you and your team gathered.</w:t>
      </w:r>
    </w:p>
    <w:p w14:paraId="555F3FD3" w14:textId="77777777" w:rsidR="004D3B6D" w:rsidRDefault="003F4555">
      <w:pPr>
        <w:pStyle w:val="normal0"/>
        <w:numPr>
          <w:ilvl w:val="1"/>
          <w:numId w:val="4"/>
        </w:numPr>
        <w:pBdr>
          <w:top w:val="nil"/>
          <w:left w:val="nil"/>
          <w:bottom w:val="nil"/>
          <w:right w:val="nil"/>
          <w:between w:val="nil"/>
        </w:pBdr>
        <w:tabs>
          <w:tab w:val="left" w:pos="810"/>
        </w:tabs>
        <w:spacing w:line="268" w:lineRule="auto"/>
        <w:ind w:left="810" w:hanging="360"/>
        <w:rPr>
          <w:rFonts w:ascii="Muli" w:eastAsia="Muli" w:hAnsi="Muli" w:cs="Muli"/>
          <w:color w:val="000000"/>
          <w:sz w:val="20"/>
          <w:szCs w:val="20"/>
        </w:rPr>
      </w:pPr>
      <w:r>
        <w:rPr>
          <w:rFonts w:ascii="Muli" w:eastAsia="Muli" w:hAnsi="Muli" w:cs="Muli"/>
          <w:color w:val="000000"/>
          <w:sz w:val="20"/>
          <w:szCs w:val="20"/>
        </w:rPr>
        <w:t>Record strengths and limitations for each criterion based on your observations. Cite specific examples.</w:t>
      </w:r>
    </w:p>
    <w:p w14:paraId="42206D79" w14:textId="77777777" w:rsidR="004D3B6D" w:rsidRDefault="004D3B6D">
      <w:pPr>
        <w:pStyle w:val="normal0"/>
        <w:pBdr>
          <w:top w:val="nil"/>
          <w:left w:val="nil"/>
          <w:bottom w:val="nil"/>
          <w:right w:val="nil"/>
          <w:between w:val="nil"/>
        </w:pBdr>
        <w:spacing w:before="11"/>
        <w:rPr>
          <w:color w:val="000000"/>
          <w:sz w:val="9"/>
          <w:szCs w:val="9"/>
        </w:rPr>
      </w:pPr>
    </w:p>
    <w:tbl>
      <w:tblPr>
        <w:tblStyle w:val="a1"/>
        <w:tblW w:w="14670"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5"/>
        <w:gridCol w:w="4005"/>
      </w:tblGrid>
      <w:tr w:rsidR="004D3B6D" w14:paraId="3FCDAE90" w14:textId="77777777">
        <w:trPr>
          <w:trHeight w:val="420"/>
        </w:trPr>
        <w:tc>
          <w:tcPr>
            <w:tcW w:w="14670" w:type="dxa"/>
            <w:gridSpan w:val="2"/>
            <w:shd w:val="clear" w:color="auto" w:fill="FF126D"/>
            <w:tcMar>
              <w:top w:w="99" w:type="dxa"/>
              <w:left w:w="99" w:type="dxa"/>
              <w:bottom w:w="99" w:type="dxa"/>
              <w:right w:w="99" w:type="dxa"/>
            </w:tcMar>
          </w:tcPr>
          <w:p w14:paraId="7114A368" w14:textId="77777777" w:rsidR="004D3B6D" w:rsidRDefault="003F4555">
            <w:pPr>
              <w:pStyle w:val="normal0"/>
              <w:ind w:right="85"/>
              <w:rPr>
                <w:rFonts w:ascii="Muli" w:eastAsia="Muli" w:hAnsi="Muli" w:cs="Muli"/>
                <w:b/>
                <w:color w:val="FFFFFF"/>
                <w:sz w:val="20"/>
                <w:szCs w:val="20"/>
              </w:rPr>
            </w:pPr>
            <w:r>
              <w:rPr>
                <w:rFonts w:ascii="Muli" w:eastAsia="Muli" w:hAnsi="Muli" w:cs="Muli"/>
                <w:b/>
                <w:color w:val="FFFFFF"/>
                <w:sz w:val="20"/>
                <w:szCs w:val="20"/>
              </w:rPr>
              <w:t>Strengths</w:t>
            </w:r>
          </w:p>
        </w:tc>
      </w:tr>
      <w:tr w:rsidR="004D3B6D" w14:paraId="571B7AFE" w14:textId="77777777">
        <w:trPr>
          <w:trHeight w:val="420"/>
        </w:trPr>
        <w:tc>
          <w:tcPr>
            <w:tcW w:w="14670" w:type="dxa"/>
            <w:gridSpan w:val="2"/>
            <w:shd w:val="clear" w:color="auto" w:fill="CCCCCC"/>
            <w:tcMar>
              <w:top w:w="99" w:type="dxa"/>
              <w:left w:w="99" w:type="dxa"/>
              <w:bottom w:w="99" w:type="dxa"/>
              <w:right w:w="99" w:type="dxa"/>
            </w:tcMar>
          </w:tcPr>
          <w:p w14:paraId="50AEA5CD" w14:textId="77777777" w:rsidR="004D3B6D" w:rsidRDefault="003F4555">
            <w:pPr>
              <w:pStyle w:val="normal0"/>
              <w:spacing w:before="130"/>
              <w:ind w:right="2262"/>
              <w:rPr>
                <w:rFonts w:ascii="Muli" w:eastAsia="Muli" w:hAnsi="Muli" w:cs="Muli"/>
                <w:b/>
                <w:sz w:val="20"/>
                <w:szCs w:val="20"/>
              </w:rPr>
            </w:pPr>
            <w:r>
              <w:rPr>
                <w:rFonts w:ascii="Muli" w:eastAsia="Muli" w:hAnsi="Muli" w:cs="Muli"/>
                <w:b/>
                <w:sz w:val="20"/>
                <w:szCs w:val="20"/>
              </w:rPr>
              <w:t>SW 1: Phenomena/ Problems</w:t>
            </w:r>
          </w:p>
        </w:tc>
      </w:tr>
      <w:tr w:rsidR="004D3B6D" w14:paraId="152685A9" w14:textId="77777777">
        <w:trPr>
          <w:trHeight w:val="520"/>
        </w:trPr>
        <w:tc>
          <w:tcPr>
            <w:tcW w:w="14670" w:type="dxa"/>
            <w:gridSpan w:val="2"/>
            <w:shd w:val="clear" w:color="auto" w:fill="EFEFEF"/>
            <w:tcMar>
              <w:top w:w="99" w:type="dxa"/>
              <w:left w:w="99" w:type="dxa"/>
              <w:bottom w:w="99" w:type="dxa"/>
              <w:right w:w="99" w:type="dxa"/>
            </w:tcMar>
          </w:tcPr>
          <w:p w14:paraId="544A5417" w14:textId="77777777" w:rsidR="004D3B6D" w:rsidRDefault="003F4555">
            <w:pPr>
              <w:pStyle w:val="normal0"/>
              <w:rPr>
                <w:rFonts w:ascii="Muli" w:eastAsia="Muli" w:hAnsi="Muli" w:cs="Muli"/>
                <w:b/>
                <w:color w:val="2F5496"/>
                <w:sz w:val="20"/>
                <w:szCs w:val="20"/>
              </w:rPr>
            </w:pPr>
            <w:r>
              <w:rPr>
                <w:rFonts w:ascii="Muli" w:eastAsia="Muli" w:hAnsi="Muli" w:cs="Muli"/>
                <w:b/>
                <w:color w:val="2F5496"/>
                <w:sz w:val="20"/>
                <w:szCs w:val="20"/>
              </w:rPr>
              <w:t>The Student Work is High Quality (5) in terms of SW1</w:t>
            </w:r>
          </w:p>
          <w:p w14:paraId="4288CCD3" w14:textId="77777777" w:rsidR="004D3B6D" w:rsidRDefault="003F4555">
            <w:pPr>
              <w:pStyle w:val="normal0"/>
              <w:rPr>
                <w:rFonts w:ascii="Muli" w:eastAsia="Muli" w:hAnsi="Muli" w:cs="Muli"/>
                <w:b/>
                <w:sz w:val="20"/>
                <w:szCs w:val="20"/>
              </w:rPr>
            </w:pPr>
            <w:r>
              <w:rPr>
                <w:rFonts w:ascii="Muli" w:eastAsia="Muli" w:hAnsi="Muli" w:cs="Muli"/>
                <w:sz w:val="20"/>
                <w:szCs w:val="20"/>
              </w:rPr>
              <w:t>Materials consistently offer quality phenomena/ problems sufficient to motivate and drive student learning.</w:t>
            </w:r>
          </w:p>
        </w:tc>
      </w:tr>
      <w:tr w:rsidR="004D3B6D" w14:paraId="2D6564B8" w14:textId="77777777" w:rsidTr="003F4555">
        <w:trPr>
          <w:trHeight w:val="5835"/>
        </w:trPr>
        <w:tc>
          <w:tcPr>
            <w:tcW w:w="10665" w:type="dxa"/>
            <w:tcMar>
              <w:top w:w="99" w:type="dxa"/>
              <w:left w:w="99" w:type="dxa"/>
              <w:bottom w:w="99" w:type="dxa"/>
              <w:right w:w="99" w:type="dxa"/>
            </w:tcMar>
          </w:tcPr>
          <w:p w14:paraId="01E2510E" w14:textId="77777777" w:rsidR="004D3B6D" w:rsidRDefault="003F4555">
            <w:pPr>
              <w:pStyle w:val="normal0"/>
              <w:rPr>
                <w:rFonts w:ascii="Muli" w:eastAsia="Muli" w:hAnsi="Muli" w:cs="Muli"/>
                <w:b/>
                <w:color w:val="FF126D"/>
                <w:sz w:val="20"/>
                <w:szCs w:val="20"/>
              </w:rPr>
            </w:pPr>
            <w:r>
              <w:rPr>
                <w:rFonts w:ascii="Muli" w:eastAsia="Muli" w:hAnsi="Muli" w:cs="Muli"/>
                <w:b/>
                <w:color w:val="FF126D"/>
                <w:sz w:val="20"/>
                <w:szCs w:val="20"/>
              </w:rPr>
              <w:t>Evidence</w:t>
            </w:r>
          </w:p>
          <w:p w14:paraId="624C4373" w14:textId="77777777" w:rsidR="004D3B6D" w:rsidRDefault="003F4555">
            <w:pPr>
              <w:pStyle w:val="normal0"/>
              <w:numPr>
                <w:ilvl w:val="0"/>
                <w:numId w:val="7"/>
              </w:numPr>
              <w:contextualSpacing/>
              <w:rPr>
                <w:rFonts w:ascii="Muli" w:eastAsia="Muli" w:hAnsi="Muli" w:cs="Muli"/>
                <w:sz w:val="20"/>
                <w:szCs w:val="20"/>
              </w:rPr>
            </w:pPr>
            <w:r>
              <w:rPr>
                <w:rFonts w:ascii="Muli" w:eastAsia="Muli" w:hAnsi="Muli" w:cs="Muli"/>
                <w:sz w:val="20"/>
                <w:szCs w:val="20"/>
              </w:rPr>
              <w:t>Students share ideas about what happens when they push or pull objects, answering the first part of the Module Phenomenon (DQ1L2 TE p. 18).</w:t>
            </w:r>
          </w:p>
          <w:p w14:paraId="22C489EB" w14:textId="77777777" w:rsidR="004D3B6D" w:rsidRDefault="003F4555">
            <w:pPr>
              <w:pStyle w:val="normal0"/>
              <w:numPr>
                <w:ilvl w:val="0"/>
                <w:numId w:val="7"/>
              </w:numPr>
              <w:contextualSpacing/>
              <w:rPr>
                <w:rFonts w:ascii="Muli" w:eastAsia="Muli" w:hAnsi="Muli" w:cs="Muli"/>
                <w:sz w:val="20"/>
                <w:szCs w:val="20"/>
              </w:rPr>
            </w:pPr>
            <w:r>
              <w:rPr>
                <w:rFonts w:ascii="Muli" w:eastAsia="Muli" w:hAnsi="Muli" w:cs="Muli"/>
                <w:sz w:val="20"/>
                <w:szCs w:val="20"/>
              </w:rPr>
              <w:t>Students conduct a hands-on investigation into the phenomenon of gravity (DQ1L8 TE p. 59).</w:t>
            </w:r>
          </w:p>
          <w:p w14:paraId="68EBBF81" w14:textId="77777777" w:rsidR="004D3B6D" w:rsidRDefault="003F4555">
            <w:pPr>
              <w:pStyle w:val="normal0"/>
              <w:numPr>
                <w:ilvl w:val="0"/>
                <w:numId w:val="7"/>
              </w:numPr>
              <w:contextualSpacing/>
              <w:rPr>
                <w:rFonts w:ascii="Muli" w:eastAsia="Muli" w:hAnsi="Muli" w:cs="Muli"/>
                <w:sz w:val="20"/>
                <w:szCs w:val="20"/>
              </w:rPr>
            </w:pPr>
            <w:r>
              <w:rPr>
                <w:rFonts w:ascii="Muli" w:eastAsia="Muli" w:hAnsi="Muli" w:cs="Muli"/>
                <w:sz w:val="20"/>
                <w:szCs w:val="20"/>
              </w:rPr>
              <w:t>Students write a narrativ</w:t>
            </w:r>
            <w:r>
              <w:rPr>
                <w:rFonts w:ascii="Muli" w:eastAsia="Muli" w:hAnsi="Muli" w:cs="Muli"/>
                <w:sz w:val="20"/>
                <w:szCs w:val="20"/>
              </w:rPr>
              <w:t>e story or informational text that illustrates their understanding of the first Driving Question (DQ1L10 TE pp. 70–75).</w:t>
            </w:r>
          </w:p>
          <w:p w14:paraId="371EAE7A" w14:textId="77777777" w:rsidR="004D3B6D" w:rsidRDefault="003F4555">
            <w:pPr>
              <w:pStyle w:val="normal0"/>
              <w:numPr>
                <w:ilvl w:val="0"/>
                <w:numId w:val="7"/>
              </w:numPr>
              <w:contextualSpacing/>
              <w:rPr>
                <w:rFonts w:ascii="Muli" w:eastAsia="Muli" w:hAnsi="Muli" w:cs="Muli"/>
                <w:sz w:val="20"/>
                <w:szCs w:val="20"/>
              </w:rPr>
            </w:pPr>
            <w:r>
              <w:rPr>
                <w:rFonts w:ascii="Muli" w:eastAsia="Muli" w:hAnsi="Muli" w:cs="Muli"/>
                <w:sz w:val="20"/>
                <w:szCs w:val="20"/>
              </w:rPr>
              <w:t>Over the course of DQ2, students conduct a series of investigations into the problem of changing the speed or direction of an object (fo</w:t>
            </w:r>
            <w:r>
              <w:rPr>
                <w:rFonts w:ascii="Muli" w:eastAsia="Muli" w:hAnsi="Muli" w:cs="Muli"/>
                <w:sz w:val="20"/>
                <w:szCs w:val="20"/>
              </w:rPr>
              <w:t xml:space="preserve">r example, </w:t>
            </w:r>
            <w:r>
              <w:rPr>
                <w:rFonts w:ascii="Muli" w:eastAsia="Muli" w:hAnsi="Muli" w:cs="Muli"/>
                <w:b/>
                <w:color w:val="FF126D"/>
                <w:sz w:val="20"/>
                <w:szCs w:val="20"/>
              </w:rPr>
              <w:t>DQ2L4 TE p. 105</w:t>
            </w:r>
            <w:r>
              <w:rPr>
                <w:rFonts w:ascii="Muli" w:eastAsia="Muli" w:hAnsi="Muli" w:cs="Muli"/>
                <w:sz w:val="20"/>
                <w:szCs w:val="20"/>
              </w:rPr>
              <w:t>, DQ2L5 TE pp. 111–112, DQ2L6 TE p. 119).</w:t>
            </w:r>
          </w:p>
          <w:p w14:paraId="2F184667" w14:textId="77777777" w:rsidR="004D3B6D" w:rsidRPr="003F4555" w:rsidRDefault="003F4555" w:rsidP="003F4555">
            <w:pPr>
              <w:pStyle w:val="normal0"/>
              <w:numPr>
                <w:ilvl w:val="0"/>
                <w:numId w:val="7"/>
              </w:numPr>
              <w:contextualSpacing/>
              <w:rPr>
                <w:rFonts w:ascii="Muli" w:eastAsia="Muli" w:hAnsi="Muli" w:cs="Muli"/>
                <w:sz w:val="20"/>
                <w:szCs w:val="20"/>
              </w:rPr>
            </w:pPr>
            <w:r>
              <w:rPr>
                <w:rFonts w:ascii="Muli" w:eastAsia="Muli" w:hAnsi="Muli" w:cs="Muli"/>
                <w:sz w:val="20"/>
                <w:szCs w:val="20"/>
              </w:rPr>
              <w:t>Students use their learning from the first two Driving Questions to design, build, test, and revise a marble run that solves a design problem (DQ3L5 TE pp. 160–162).  They present their co</w:t>
            </w:r>
            <w:r>
              <w:rPr>
                <w:rFonts w:ascii="Muli" w:eastAsia="Muli" w:hAnsi="Muli" w:cs="Muli"/>
                <w:sz w:val="20"/>
                <w:szCs w:val="20"/>
              </w:rPr>
              <w:t>mpleted marble runs to the class, using their knowledge of the Module Phenomenon to explain how their marble run works (DQ3L6 TE p. 167</w:t>
            </w:r>
          </w:p>
          <w:p w14:paraId="5151AD37" w14:textId="77777777" w:rsidR="004D3B6D" w:rsidRDefault="004D3B6D">
            <w:pPr>
              <w:pStyle w:val="normal0"/>
              <w:rPr>
                <w:rFonts w:ascii="Muli" w:eastAsia="Muli" w:hAnsi="Muli" w:cs="Muli"/>
                <w:sz w:val="20"/>
                <w:szCs w:val="20"/>
              </w:rPr>
            </w:pPr>
          </w:p>
        </w:tc>
        <w:tc>
          <w:tcPr>
            <w:tcW w:w="4005" w:type="dxa"/>
            <w:tcMar>
              <w:top w:w="99" w:type="dxa"/>
              <w:left w:w="99" w:type="dxa"/>
              <w:bottom w:w="99" w:type="dxa"/>
              <w:right w:w="99" w:type="dxa"/>
            </w:tcMar>
          </w:tcPr>
          <w:p w14:paraId="456F01FA" w14:textId="77777777" w:rsidR="004D3B6D" w:rsidRDefault="003F4555">
            <w:pPr>
              <w:pStyle w:val="normal0"/>
              <w:pBdr>
                <w:top w:val="nil"/>
                <w:left w:val="nil"/>
                <w:bottom w:val="nil"/>
                <w:right w:val="nil"/>
                <w:between w:val="nil"/>
              </w:pBdr>
              <w:rPr>
                <w:rFonts w:ascii="Muli" w:eastAsia="Muli" w:hAnsi="Muli" w:cs="Muli"/>
                <w:sz w:val="18"/>
                <w:szCs w:val="18"/>
              </w:rPr>
            </w:pPr>
            <w:r>
              <w:rPr>
                <w:rFonts w:ascii="Muli" w:eastAsia="Muli" w:hAnsi="Muli" w:cs="Muli"/>
                <w:noProof/>
                <w:sz w:val="18"/>
                <w:szCs w:val="18"/>
              </w:rPr>
              <w:drawing>
                <wp:inline distT="114300" distB="114300" distL="114300" distR="114300" wp14:anchorId="1082FF0D" wp14:editId="0C7F55F1">
                  <wp:extent cx="2366963" cy="1447489"/>
                  <wp:effectExtent l="12700" t="12700" r="12700" b="1270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2366963" cy="1447489"/>
                          </a:xfrm>
                          <a:prstGeom prst="rect">
                            <a:avLst/>
                          </a:prstGeom>
                          <a:ln w="12700">
                            <a:solidFill>
                              <a:srgbClr val="D9D9D9"/>
                            </a:solidFill>
                            <a:prstDash val="solid"/>
                          </a:ln>
                        </pic:spPr>
                      </pic:pic>
                    </a:graphicData>
                  </a:graphic>
                </wp:inline>
              </w:drawing>
            </w:r>
          </w:p>
          <w:p w14:paraId="4EABBC58" w14:textId="77777777" w:rsidR="004D3B6D" w:rsidRDefault="003F4555">
            <w:pPr>
              <w:pStyle w:val="normal0"/>
              <w:rPr>
                <w:rFonts w:ascii="Muli" w:eastAsia="Muli" w:hAnsi="Muli" w:cs="Muli"/>
                <w:sz w:val="18"/>
                <w:szCs w:val="18"/>
              </w:rPr>
            </w:pPr>
            <w:r>
              <w:rPr>
                <w:rFonts w:ascii="Muli" w:eastAsia="Muli" w:hAnsi="Muli" w:cs="Muli"/>
                <w:b/>
                <w:color w:val="FF126D"/>
                <w:sz w:val="20"/>
                <w:szCs w:val="20"/>
              </w:rPr>
              <w:t>DQ2L4 TE p. 105</w:t>
            </w:r>
          </w:p>
        </w:tc>
      </w:tr>
      <w:tr w:rsidR="004D3B6D" w14:paraId="13EC0FA5" w14:textId="77777777">
        <w:trPr>
          <w:trHeight w:val="240"/>
        </w:trPr>
        <w:tc>
          <w:tcPr>
            <w:tcW w:w="14670" w:type="dxa"/>
            <w:gridSpan w:val="2"/>
            <w:shd w:val="clear" w:color="auto" w:fill="CCCCCC"/>
            <w:tcMar>
              <w:top w:w="99" w:type="dxa"/>
              <w:left w:w="99" w:type="dxa"/>
              <w:bottom w:w="99" w:type="dxa"/>
              <w:right w:w="99" w:type="dxa"/>
            </w:tcMar>
          </w:tcPr>
          <w:p w14:paraId="25D5BE23" w14:textId="77777777" w:rsidR="004D3B6D" w:rsidRDefault="003F4555">
            <w:pPr>
              <w:pStyle w:val="normal0"/>
              <w:spacing w:before="1"/>
              <w:ind w:right="545"/>
              <w:rPr>
                <w:rFonts w:ascii="Muli" w:eastAsia="Muli" w:hAnsi="Muli" w:cs="Muli"/>
                <w:b/>
                <w:sz w:val="20"/>
                <w:szCs w:val="20"/>
              </w:rPr>
            </w:pPr>
            <w:r>
              <w:rPr>
                <w:rFonts w:ascii="Muli" w:eastAsia="Muli" w:hAnsi="Muli" w:cs="Muli"/>
                <w:b/>
                <w:color w:val="1C1C1C"/>
                <w:sz w:val="20"/>
                <w:szCs w:val="20"/>
              </w:rPr>
              <w:lastRenderedPageBreak/>
              <w:t>SW 2: Three-Dimensional Conceptual Framework</w:t>
            </w:r>
          </w:p>
        </w:tc>
      </w:tr>
      <w:tr w:rsidR="004D3B6D" w14:paraId="78606C05" w14:textId="77777777">
        <w:trPr>
          <w:trHeight w:val="580"/>
        </w:trPr>
        <w:tc>
          <w:tcPr>
            <w:tcW w:w="14670" w:type="dxa"/>
            <w:gridSpan w:val="2"/>
            <w:shd w:val="clear" w:color="auto" w:fill="EFEFEF"/>
            <w:tcMar>
              <w:top w:w="99" w:type="dxa"/>
              <w:left w:w="99" w:type="dxa"/>
              <w:bottom w:w="99" w:type="dxa"/>
              <w:right w:w="99" w:type="dxa"/>
            </w:tcMar>
          </w:tcPr>
          <w:p w14:paraId="6220F8FE" w14:textId="77777777" w:rsidR="004D3B6D" w:rsidRDefault="003F4555">
            <w:pPr>
              <w:pStyle w:val="normal0"/>
              <w:rPr>
                <w:rFonts w:ascii="Muli" w:eastAsia="Muli" w:hAnsi="Muli" w:cs="Muli"/>
                <w:b/>
                <w:color w:val="2F5496"/>
                <w:sz w:val="20"/>
                <w:szCs w:val="20"/>
              </w:rPr>
            </w:pPr>
            <w:r>
              <w:rPr>
                <w:rFonts w:ascii="Muli" w:eastAsia="Muli" w:hAnsi="Muli" w:cs="Muli"/>
                <w:b/>
                <w:color w:val="2F5496"/>
                <w:sz w:val="20"/>
                <w:szCs w:val="20"/>
              </w:rPr>
              <w:t>The Student Work is High Quality (5) in terms of SW2</w:t>
            </w:r>
          </w:p>
          <w:p w14:paraId="25FD1020" w14:textId="77777777" w:rsidR="004D3B6D" w:rsidRDefault="003F4555">
            <w:pPr>
              <w:pStyle w:val="normal0"/>
              <w:spacing w:before="1"/>
              <w:ind w:right="188"/>
              <w:rPr>
                <w:rFonts w:ascii="Muli" w:eastAsia="Muli" w:hAnsi="Muli" w:cs="Muli"/>
                <w:b/>
                <w:sz w:val="20"/>
                <w:szCs w:val="20"/>
              </w:rPr>
            </w:pPr>
            <w:r>
              <w:rPr>
                <w:rFonts w:ascii="Muli" w:eastAsia="Muli" w:hAnsi="Muli" w:cs="Muli"/>
                <w:sz w:val="20"/>
                <w:szCs w:val="20"/>
              </w:rPr>
              <w:t>Materials consistently include learning experiences that help students build from prior experiences to negotiate new understandings and abilities and apply their understandings in a variety of ways.</w:t>
            </w:r>
          </w:p>
        </w:tc>
      </w:tr>
      <w:tr w:rsidR="004D3B6D" w14:paraId="3924B3E1" w14:textId="77777777" w:rsidTr="003F4555">
        <w:trPr>
          <w:trHeight w:val="8361"/>
        </w:trPr>
        <w:tc>
          <w:tcPr>
            <w:tcW w:w="10665" w:type="dxa"/>
            <w:tcMar>
              <w:top w:w="99" w:type="dxa"/>
              <w:left w:w="99" w:type="dxa"/>
              <w:bottom w:w="99" w:type="dxa"/>
              <w:right w:w="99" w:type="dxa"/>
            </w:tcMar>
          </w:tcPr>
          <w:p w14:paraId="261CF833" w14:textId="77777777" w:rsidR="004D3B6D" w:rsidRDefault="003F4555">
            <w:pPr>
              <w:pStyle w:val="normal0"/>
              <w:rPr>
                <w:rFonts w:ascii="Muli" w:eastAsia="Muli" w:hAnsi="Muli" w:cs="Muli"/>
                <w:b/>
                <w:color w:val="FF126D"/>
                <w:sz w:val="20"/>
                <w:szCs w:val="20"/>
              </w:rPr>
            </w:pPr>
            <w:r>
              <w:rPr>
                <w:rFonts w:ascii="Muli" w:eastAsia="Muli" w:hAnsi="Muli" w:cs="Muli"/>
                <w:b/>
                <w:color w:val="FF126D"/>
                <w:sz w:val="20"/>
                <w:szCs w:val="20"/>
              </w:rPr>
              <w:t>Evi</w:t>
            </w:r>
            <w:r>
              <w:rPr>
                <w:rFonts w:ascii="Muli" w:eastAsia="Muli" w:hAnsi="Muli" w:cs="Muli"/>
                <w:b/>
                <w:color w:val="FF126D"/>
                <w:sz w:val="20"/>
                <w:szCs w:val="20"/>
              </w:rPr>
              <w:t>dence</w:t>
            </w:r>
          </w:p>
          <w:p w14:paraId="406A8416" w14:textId="77777777" w:rsidR="004D3B6D" w:rsidRDefault="003F4555">
            <w:pPr>
              <w:pStyle w:val="normal0"/>
              <w:numPr>
                <w:ilvl w:val="0"/>
                <w:numId w:val="12"/>
              </w:numPr>
              <w:contextualSpacing/>
              <w:rPr>
                <w:rFonts w:ascii="Muli" w:eastAsia="Muli" w:hAnsi="Muli" w:cs="Muli"/>
                <w:sz w:val="20"/>
                <w:szCs w:val="20"/>
              </w:rPr>
            </w:pPr>
            <w:r>
              <w:rPr>
                <w:rFonts w:ascii="Muli" w:eastAsia="Muli" w:hAnsi="Muli" w:cs="Muli"/>
                <w:sz w:val="20"/>
                <w:szCs w:val="20"/>
              </w:rPr>
              <w:t>After investigating objects in the classroom, students draw their observations, showing something that can be pushed, something that be pulled, and something that cannot be pushed or pulled (</w:t>
            </w:r>
            <w:r>
              <w:rPr>
                <w:rFonts w:ascii="Muli" w:eastAsia="Muli" w:hAnsi="Muli" w:cs="Muli"/>
                <w:b/>
                <w:color w:val="FF126D"/>
                <w:sz w:val="20"/>
                <w:szCs w:val="20"/>
              </w:rPr>
              <w:t>DQ1L2 TB p. 5</w:t>
            </w:r>
            <w:r>
              <w:rPr>
                <w:rFonts w:ascii="Muli" w:eastAsia="Muli" w:hAnsi="Muli" w:cs="Muli"/>
                <w:sz w:val="20"/>
                <w:szCs w:val="20"/>
              </w:rPr>
              <w:t>).</w:t>
            </w:r>
          </w:p>
          <w:p w14:paraId="515A0560" w14:textId="77777777" w:rsidR="004D3B6D" w:rsidRDefault="003F4555">
            <w:pPr>
              <w:pStyle w:val="normal0"/>
              <w:numPr>
                <w:ilvl w:val="0"/>
                <w:numId w:val="12"/>
              </w:numPr>
              <w:contextualSpacing/>
              <w:rPr>
                <w:rFonts w:ascii="Muli" w:eastAsia="Muli" w:hAnsi="Muli" w:cs="Muli"/>
                <w:sz w:val="20"/>
                <w:szCs w:val="20"/>
              </w:rPr>
            </w:pPr>
            <w:r>
              <w:rPr>
                <w:rFonts w:ascii="Muli" w:eastAsia="Muli" w:hAnsi="Muli" w:cs="Muli"/>
                <w:sz w:val="20"/>
                <w:szCs w:val="20"/>
              </w:rPr>
              <w:t>Students read a text that reinforces the te</w:t>
            </w:r>
            <w:r>
              <w:rPr>
                <w:rFonts w:ascii="Muli" w:eastAsia="Muli" w:hAnsi="Muli" w:cs="Muli"/>
                <w:sz w:val="20"/>
                <w:szCs w:val="20"/>
              </w:rPr>
              <w:t xml:space="preserve">rms </w:t>
            </w:r>
            <w:r>
              <w:rPr>
                <w:rFonts w:ascii="Muli" w:eastAsia="Muli" w:hAnsi="Muli" w:cs="Muli"/>
                <w:i/>
                <w:sz w:val="20"/>
                <w:szCs w:val="20"/>
              </w:rPr>
              <w:t>push</w:t>
            </w:r>
            <w:r>
              <w:rPr>
                <w:rFonts w:ascii="Muli" w:eastAsia="Muli" w:hAnsi="Muli" w:cs="Muli"/>
                <w:sz w:val="20"/>
                <w:szCs w:val="20"/>
              </w:rPr>
              <w:t xml:space="preserve"> and </w:t>
            </w:r>
            <w:r>
              <w:rPr>
                <w:rFonts w:ascii="Muli" w:eastAsia="Muli" w:hAnsi="Muli" w:cs="Muli"/>
                <w:i/>
                <w:sz w:val="20"/>
                <w:szCs w:val="20"/>
              </w:rPr>
              <w:t>pull</w:t>
            </w:r>
            <w:r>
              <w:rPr>
                <w:rFonts w:ascii="Muli" w:eastAsia="Muli" w:hAnsi="Muli" w:cs="Muli"/>
                <w:sz w:val="20"/>
                <w:szCs w:val="20"/>
              </w:rPr>
              <w:t>, and then analyze and discuss images with a partner, determining if each image shows a push or a pull (DQ1L9 TB pp. 23–26).</w:t>
            </w:r>
          </w:p>
          <w:p w14:paraId="058D155C" w14:textId="77777777" w:rsidR="004D3B6D" w:rsidRDefault="003F4555">
            <w:pPr>
              <w:pStyle w:val="normal0"/>
              <w:numPr>
                <w:ilvl w:val="0"/>
                <w:numId w:val="12"/>
              </w:numPr>
              <w:contextualSpacing/>
              <w:rPr>
                <w:rFonts w:ascii="Muli" w:eastAsia="Muli" w:hAnsi="Muli" w:cs="Muli"/>
                <w:sz w:val="20"/>
                <w:szCs w:val="20"/>
              </w:rPr>
            </w:pPr>
            <w:r>
              <w:rPr>
                <w:rFonts w:ascii="Muli" w:eastAsia="Muli" w:hAnsi="Muli" w:cs="Muli"/>
                <w:sz w:val="20"/>
                <w:szCs w:val="20"/>
              </w:rPr>
              <w:t>After an investigation, students complete a sentence starter, relating the motion of a marble to the phenomenon of gravity in terms of cause and effect (DQ2L3 TB p. 36).</w:t>
            </w:r>
          </w:p>
          <w:p w14:paraId="107929F7" w14:textId="77777777" w:rsidR="004D3B6D" w:rsidRDefault="003F4555">
            <w:pPr>
              <w:pStyle w:val="normal0"/>
              <w:numPr>
                <w:ilvl w:val="0"/>
                <w:numId w:val="12"/>
              </w:numPr>
              <w:contextualSpacing/>
              <w:rPr>
                <w:rFonts w:ascii="Muli" w:eastAsia="Muli" w:hAnsi="Muli" w:cs="Muli"/>
                <w:sz w:val="20"/>
                <w:szCs w:val="20"/>
              </w:rPr>
            </w:pPr>
            <w:r>
              <w:rPr>
                <w:rFonts w:ascii="Muli" w:eastAsia="Muli" w:hAnsi="Muli" w:cs="Muli"/>
                <w:sz w:val="20"/>
                <w:szCs w:val="20"/>
              </w:rPr>
              <w:t>Students investigate what happens when marbles of different sizes collide, drawing the</w:t>
            </w:r>
            <w:r>
              <w:rPr>
                <w:rFonts w:ascii="Muli" w:eastAsia="Muli" w:hAnsi="Muli" w:cs="Muli"/>
                <w:sz w:val="20"/>
                <w:szCs w:val="20"/>
              </w:rPr>
              <w:t>ir predictions and observations (DQ2L6 TB pp. 43–44).</w:t>
            </w:r>
          </w:p>
          <w:p w14:paraId="134B9D68" w14:textId="77777777" w:rsidR="004D3B6D" w:rsidRDefault="003F4555">
            <w:pPr>
              <w:pStyle w:val="normal0"/>
              <w:numPr>
                <w:ilvl w:val="0"/>
                <w:numId w:val="12"/>
              </w:numPr>
              <w:contextualSpacing/>
              <w:rPr>
                <w:rFonts w:ascii="Muli" w:eastAsia="Muli" w:hAnsi="Muli" w:cs="Muli"/>
                <w:sz w:val="20"/>
                <w:szCs w:val="20"/>
              </w:rPr>
            </w:pPr>
            <w:r>
              <w:rPr>
                <w:rFonts w:ascii="Muli" w:eastAsia="Muli" w:hAnsi="Muli" w:cs="Muli"/>
                <w:sz w:val="20"/>
                <w:szCs w:val="20"/>
              </w:rPr>
              <w:t>Students apply their new understandings and ideas to revise their marble runs. They explain how their design changed as they learned from their failures and challenges (DQ3L5 TB pp. 64–65).</w:t>
            </w:r>
          </w:p>
        </w:tc>
        <w:tc>
          <w:tcPr>
            <w:tcW w:w="4005" w:type="dxa"/>
            <w:tcMar>
              <w:top w:w="99" w:type="dxa"/>
              <w:left w:w="99" w:type="dxa"/>
              <w:bottom w:w="99" w:type="dxa"/>
              <w:right w:w="99" w:type="dxa"/>
            </w:tcMar>
          </w:tcPr>
          <w:p w14:paraId="56E26CDB" w14:textId="77777777" w:rsidR="004D3B6D" w:rsidRDefault="003F4555">
            <w:pPr>
              <w:pStyle w:val="normal0"/>
              <w:pBdr>
                <w:top w:val="nil"/>
                <w:left w:val="nil"/>
                <w:bottom w:val="nil"/>
                <w:right w:val="nil"/>
                <w:between w:val="nil"/>
              </w:pBdr>
              <w:rPr>
                <w:rFonts w:ascii="Muli" w:eastAsia="Muli" w:hAnsi="Muli" w:cs="Muli"/>
                <w:sz w:val="18"/>
                <w:szCs w:val="18"/>
              </w:rPr>
            </w:pPr>
            <w:r>
              <w:rPr>
                <w:rFonts w:ascii="Muli" w:eastAsia="Muli" w:hAnsi="Muli" w:cs="Muli"/>
                <w:noProof/>
                <w:sz w:val="18"/>
                <w:szCs w:val="18"/>
              </w:rPr>
              <w:drawing>
                <wp:inline distT="114300" distB="114300" distL="114300" distR="114300" wp14:anchorId="0C10A538" wp14:editId="759EFE54">
                  <wp:extent cx="2416237" cy="1862138"/>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2416237" cy="1862138"/>
                          </a:xfrm>
                          <a:prstGeom prst="rect">
                            <a:avLst/>
                          </a:prstGeom>
                          <a:ln/>
                        </pic:spPr>
                      </pic:pic>
                    </a:graphicData>
                  </a:graphic>
                </wp:inline>
              </w:drawing>
            </w:r>
          </w:p>
          <w:p w14:paraId="4776F1BD" w14:textId="77777777" w:rsidR="004D3B6D" w:rsidRDefault="003F4555">
            <w:pPr>
              <w:pStyle w:val="normal0"/>
              <w:rPr>
                <w:rFonts w:ascii="Muli" w:eastAsia="Muli" w:hAnsi="Muli" w:cs="Muli"/>
                <w:sz w:val="18"/>
                <w:szCs w:val="18"/>
              </w:rPr>
            </w:pPr>
            <w:r>
              <w:rPr>
                <w:rFonts w:ascii="Muli" w:eastAsia="Muli" w:hAnsi="Muli" w:cs="Muli"/>
                <w:b/>
                <w:color w:val="FF126D"/>
                <w:sz w:val="20"/>
                <w:szCs w:val="20"/>
              </w:rPr>
              <w:t>DQ1L2 TB p. 5</w:t>
            </w:r>
          </w:p>
        </w:tc>
      </w:tr>
      <w:tr w:rsidR="004D3B6D" w14:paraId="687CAC92" w14:textId="77777777">
        <w:trPr>
          <w:trHeight w:val="500"/>
        </w:trPr>
        <w:tc>
          <w:tcPr>
            <w:tcW w:w="14670" w:type="dxa"/>
            <w:gridSpan w:val="2"/>
            <w:shd w:val="clear" w:color="auto" w:fill="CCCCCC"/>
            <w:tcMar>
              <w:top w:w="99" w:type="dxa"/>
              <w:left w:w="99" w:type="dxa"/>
              <w:bottom w:w="99" w:type="dxa"/>
              <w:right w:w="99" w:type="dxa"/>
            </w:tcMar>
          </w:tcPr>
          <w:p w14:paraId="50159EDF" w14:textId="77777777" w:rsidR="004D3B6D" w:rsidRDefault="003F4555">
            <w:pPr>
              <w:pStyle w:val="normal0"/>
              <w:spacing w:before="132"/>
              <w:rPr>
                <w:rFonts w:ascii="Muli" w:eastAsia="Muli" w:hAnsi="Muli" w:cs="Muli"/>
                <w:sz w:val="20"/>
                <w:szCs w:val="20"/>
              </w:rPr>
            </w:pPr>
            <w:r>
              <w:rPr>
                <w:rFonts w:ascii="Muli" w:eastAsia="Muli" w:hAnsi="Muli" w:cs="Muli"/>
                <w:b/>
                <w:sz w:val="20"/>
                <w:szCs w:val="20"/>
              </w:rPr>
              <w:lastRenderedPageBreak/>
              <w:t>SW 3: Prior Knowledge</w:t>
            </w:r>
          </w:p>
        </w:tc>
      </w:tr>
      <w:tr w:rsidR="004D3B6D" w14:paraId="1BA01686" w14:textId="77777777">
        <w:trPr>
          <w:trHeight w:val="580"/>
        </w:trPr>
        <w:tc>
          <w:tcPr>
            <w:tcW w:w="14670" w:type="dxa"/>
            <w:gridSpan w:val="2"/>
            <w:shd w:val="clear" w:color="auto" w:fill="EFEFEF"/>
            <w:tcMar>
              <w:top w:w="99" w:type="dxa"/>
              <w:left w:w="99" w:type="dxa"/>
              <w:bottom w:w="99" w:type="dxa"/>
              <w:right w:w="99" w:type="dxa"/>
            </w:tcMar>
          </w:tcPr>
          <w:p w14:paraId="11F55BE5" w14:textId="77777777" w:rsidR="004D3B6D" w:rsidRDefault="003F4555">
            <w:pPr>
              <w:pStyle w:val="normal0"/>
              <w:rPr>
                <w:rFonts w:ascii="Muli" w:eastAsia="Muli" w:hAnsi="Muli" w:cs="Muli"/>
                <w:color w:val="2F5496"/>
                <w:sz w:val="20"/>
                <w:szCs w:val="20"/>
              </w:rPr>
            </w:pPr>
            <w:r>
              <w:rPr>
                <w:rFonts w:ascii="Muli" w:eastAsia="Muli" w:hAnsi="Muli" w:cs="Muli"/>
                <w:b/>
                <w:color w:val="2F5496"/>
                <w:sz w:val="20"/>
                <w:szCs w:val="20"/>
              </w:rPr>
              <w:t>The Student Work is High Quality (5) in terms of SW3</w:t>
            </w:r>
          </w:p>
          <w:p w14:paraId="0CD32787" w14:textId="77777777" w:rsidR="004D3B6D" w:rsidRDefault="003F4555">
            <w:pPr>
              <w:pStyle w:val="normal0"/>
              <w:ind w:right="261"/>
              <w:rPr>
                <w:rFonts w:ascii="Muli" w:eastAsia="Muli" w:hAnsi="Muli" w:cs="Muli"/>
                <w:b/>
                <w:sz w:val="20"/>
                <w:szCs w:val="20"/>
              </w:rPr>
            </w:pPr>
            <w:r>
              <w:rPr>
                <w:rFonts w:ascii="Muli" w:eastAsia="Muli" w:hAnsi="Muli" w:cs="Muli"/>
                <w:sz w:val="20"/>
                <w:szCs w:val="20"/>
              </w:rPr>
              <w:t>Materials consistently leverage student prior knowledge and experiences to motivate their learning.</w:t>
            </w:r>
          </w:p>
        </w:tc>
      </w:tr>
      <w:tr w:rsidR="004D3B6D" w14:paraId="2F3143D8" w14:textId="77777777" w:rsidTr="003F4555">
        <w:trPr>
          <w:trHeight w:val="8458"/>
        </w:trPr>
        <w:tc>
          <w:tcPr>
            <w:tcW w:w="10665" w:type="dxa"/>
            <w:tcMar>
              <w:top w:w="99" w:type="dxa"/>
              <w:left w:w="99" w:type="dxa"/>
              <w:bottom w:w="99" w:type="dxa"/>
              <w:right w:w="99" w:type="dxa"/>
            </w:tcMar>
          </w:tcPr>
          <w:p w14:paraId="678CDA29" w14:textId="77777777" w:rsidR="004D3B6D" w:rsidRDefault="003F4555">
            <w:pPr>
              <w:pStyle w:val="normal0"/>
              <w:rPr>
                <w:rFonts w:ascii="Muli" w:eastAsia="Muli" w:hAnsi="Muli" w:cs="Muli"/>
                <w:color w:val="FF126D"/>
                <w:sz w:val="20"/>
                <w:szCs w:val="20"/>
                <w:shd w:val="clear" w:color="auto" w:fill="EA9999"/>
              </w:rPr>
            </w:pPr>
            <w:r>
              <w:rPr>
                <w:rFonts w:ascii="Muli" w:eastAsia="Muli" w:hAnsi="Muli" w:cs="Muli"/>
                <w:b/>
                <w:color w:val="FF126D"/>
                <w:sz w:val="20"/>
                <w:szCs w:val="20"/>
              </w:rPr>
              <w:t>Evidence</w:t>
            </w:r>
          </w:p>
          <w:p w14:paraId="219A3BAD" w14:textId="77777777" w:rsidR="004D3B6D" w:rsidRDefault="003F4555">
            <w:pPr>
              <w:pStyle w:val="normal0"/>
              <w:numPr>
                <w:ilvl w:val="0"/>
                <w:numId w:val="1"/>
              </w:numPr>
              <w:contextualSpacing/>
              <w:rPr>
                <w:rFonts w:ascii="Muli" w:eastAsia="Muli" w:hAnsi="Muli" w:cs="Muli"/>
                <w:sz w:val="20"/>
                <w:szCs w:val="20"/>
              </w:rPr>
            </w:pPr>
            <w:r>
              <w:rPr>
                <w:rFonts w:ascii="Muli" w:eastAsia="Muli" w:hAnsi="Muli" w:cs="Muli"/>
                <w:sz w:val="20"/>
                <w:szCs w:val="20"/>
              </w:rPr>
              <w:t xml:space="preserve">Students complete a Pre-Exploration (diagnostic pre-assessment) to elicit awareness of their prior knowledge and misconceptions </w:t>
            </w:r>
            <w:r>
              <w:rPr>
                <w:rFonts w:ascii="Muli" w:eastAsia="Muli" w:hAnsi="Muli" w:cs="Muli"/>
                <w:b/>
                <w:color w:val="FF126D"/>
                <w:sz w:val="20"/>
                <w:szCs w:val="20"/>
              </w:rPr>
              <w:t>(DQ1L1 TB p. 4)</w:t>
            </w:r>
            <w:r>
              <w:rPr>
                <w:rFonts w:ascii="Muli" w:eastAsia="Muli" w:hAnsi="Muli" w:cs="Muli"/>
                <w:sz w:val="20"/>
                <w:szCs w:val="20"/>
              </w:rPr>
              <w:t>.</w:t>
            </w:r>
          </w:p>
          <w:p w14:paraId="34F01B17" w14:textId="77777777" w:rsidR="004D3B6D" w:rsidRDefault="003F4555">
            <w:pPr>
              <w:pStyle w:val="normal0"/>
              <w:numPr>
                <w:ilvl w:val="0"/>
                <w:numId w:val="1"/>
              </w:numPr>
              <w:contextualSpacing/>
              <w:rPr>
                <w:rFonts w:ascii="Muli" w:eastAsia="Muli" w:hAnsi="Muli" w:cs="Muli"/>
                <w:sz w:val="20"/>
                <w:szCs w:val="20"/>
              </w:rPr>
            </w:pPr>
            <w:r>
              <w:rPr>
                <w:rFonts w:ascii="Muli" w:eastAsia="Muli" w:hAnsi="Muli" w:cs="Muli"/>
                <w:sz w:val="20"/>
                <w:szCs w:val="20"/>
              </w:rPr>
              <w:t>Students engage with a Prior Knowledge Read-Aloud about different types of movement (DQ1L2 TE p. 16).</w:t>
            </w:r>
          </w:p>
          <w:p w14:paraId="7A4C0084" w14:textId="77777777" w:rsidR="004D3B6D" w:rsidRDefault="003F4555">
            <w:pPr>
              <w:pStyle w:val="normal0"/>
              <w:numPr>
                <w:ilvl w:val="0"/>
                <w:numId w:val="1"/>
              </w:numPr>
              <w:contextualSpacing/>
              <w:rPr>
                <w:rFonts w:ascii="Muli" w:eastAsia="Muli" w:hAnsi="Muli" w:cs="Muli"/>
                <w:sz w:val="20"/>
                <w:szCs w:val="20"/>
              </w:rPr>
            </w:pPr>
            <w:r>
              <w:rPr>
                <w:rFonts w:ascii="Muli" w:eastAsia="Muli" w:hAnsi="Muli" w:cs="Muli"/>
                <w:sz w:val="20"/>
                <w:szCs w:val="20"/>
              </w:rPr>
              <w:t xml:space="preserve">Students </w:t>
            </w:r>
            <w:r>
              <w:rPr>
                <w:rFonts w:ascii="Muli" w:eastAsia="Muli" w:hAnsi="Muli" w:cs="Muli"/>
                <w:sz w:val="20"/>
                <w:szCs w:val="20"/>
              </w:rPr>
              <w:t>reflect on the new ideas that they have learned about pushes and pulls (DQ1L5 TB p. 12).</w:t>
            </w:r>
          </w:p>
          <w:p w14:paraId="50BCCCE0" w14:textId="77777777" w:rsidR="004D3B6D" w:rsidRDefault="003F4555">
            <w:pPr>
              <w:pStyle w:val="normal0"/>
              <w:numPr>
                <w:ilvl w:val="0"/>
                <w:numId w:val="1"/>
              </w:numPr>
              <w:contextualSpacing/>
              <w:rPr>
                <w:rFonts w:ascii="Muli" w:eastAsia="Muli" w:hAnsi="Muli" w:cs="Muli"/>
                <w:sz w:val="20"/>
                <w:szCs w:val="20"/>
              </w:rPr>
            </w:pPr>
            <w:r>
              <w:rPr>
                <w:rFonts w:ascii="Muli" w:eastAsia="Muli" w:hAnsi="Muli" w:cs="Muli"/>
                <w:sz w:val="20"/>
                <w:szCs w:val="20"/>
              </w:rPr>
              <w:t>Students review their use of science tools and add “Design solutions” to their Science Tools poster (DQ3L3 TE p. 151).</w:t>
            </w:r>
          </w:p>
          <w:p w14:paraId="760C9034" w14:textId="77777777" w:rsidR="004D3B6D" w:rsidRDefault="003F4555">
            <w:pPr>
              <w:pStyle w:val="normal0"/>
              <w:numPr>
                <w:ilvl w:val="0"/>
                <w:numId w:val="1"/>
              </w:numPr>
              <w:contextualSpacing/>
              <w:rPr>
                <w:rFonts w:ascii="Muli" w:eastAsia="Muli" w:hAnsi="Muli" w:cs="Muli"/>
                <w:sz w:val="20"/>
                <w:szCs w:val="20"/>
              </w:rPr>
            </w:pPr>
            <w:r>
              <w:rPr>
                <w:rFonts w:ascii="Muli" w:eastAsia="Muli" w:hAnsi="Muli" w:cs="Muli"/>
                <w:sz w:val="20"/>
                <w:szCs w:val="20"/>
              </w:rPr>
              <w:t>Students use their learning to revise their marb</w:t>
            </w:r>
            <w:r>
              <w:rPr>
                <w:rFonts w:ascii="Muli" w:eastAsia="Muli" w:hAnsi="Muli" w:cs="Muli"/>
                <w:sz w:val="20"/>
                <w:szCs w:val="20"/>
              </w:rPr>
              <w:t>le runs (DQ3L5 TE pp. 161–161).</w:t>
            </w:r>
          </w:p>
        </w:tc>
        <w:tc>
          <w:tcPr>
            <w:tcW w:w="4005" w:type="dxa"/>
            <w:tcMar>
              <w:top w:w="99" w:type="dxa"/>
              <w:left w:w="99" w:type="dxa"/>
              <w:bottom w:w="99" w:type="dxa"/>
              <w:right w:w="99" w:type="dxa"/>
            </w:tcMar>
          </w:tcPr>
          <w:p w14:paraId="5B050B22" w14:textId="77777777" w:rsidR="004D3B6D" w:rsidRDefault="003F4555">
            <w:pPr>
              <w:pStyle w:val="normal0"/>
              <w:pBdr>
                <w:top w:val="nil"/>
                <w:left w:val="nil"/>
                <w:bottom w:val="nil"/>
                <w:right w:val="nil"/>
                <w:between w:val="nil"/>
              </w:pBdr>
              <w:rPr>
                <w:rFonts w:ascii="Muli" w:eastAsia="Muli" w:hAnsi="Muli" w:cs="Muli"/>
                <w:sz w:val="18"/>
                <w:szCs w:val="18"/>
              </w:rPr>
            </w:pPr>
            <w:r>
              <w:rPr>
                <w:rFonts w:ascii="Muli" w:eastAsia="Muli" w:hAnsi="Muli" w:cs="Muli"/>
                <w:noProof/>
                <w:sz w:val="18"/>
                <w:szCs w:val="18"/>
              </w:rPr>
              <w:drawing>
                <wp:inline distT="114300" distB="114300" distL="114300" distR="114300" wp14:anchorId="6F8FC410" wp14:editId="79619B36">
                  <wp:extent cx="2376153" cy="1652588"/>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2376153" cy="1652588"/>
                          </a:xfrm>
                          <a:prstGeom prst="rect">
                            <a:avLst/>
                          </a:prstGeom>
                          <a:ln/>
                        </pic:spPr>
                      </pic:pic>
                    </a:graphicData>
                  </a:graphic>
                </wp:inline>
              </w:drawing>
            </w:r>
          </w:p>
          <w:p w14:paraId="6B88F516" w14:textId="77777777" w:rsidR="004D3B6D" w:rsidRDefault="003F4555">
            <w:pPr>
              <w:pStyle w:val="normal0"/>
              <w:rPr>
                <w:rFonts w:ascii="Muli" w:eastAsia="Muli" w:hAnsi="Muli" w:cs="Muli"/>
                <w:b/>
                <w:color w:val="FF126D"/>
                <w:sz w:val="20"/>
                <w:szCs w:val="20"/>
              </w:rPr>
            </w:pPr>
            <w:r>
              <w:rPr>
                <w:rFonts w:ascii="Muli" w:eastAsia="Muli" w:hAnsi="Muli" w:cs="Muli"/>
                <w:b/>
                <w:color w:val="FF126D"/>
                <w:sz w:val="20"/>
                <w:szCs w:val="20"/>
              </w:rPr>
              <w:t>DQ1L1 TB p. 4</w:t>
            </w:r>
          </w:p>
          <w:p w14:paraId="002F2FC0" w14:textId="77777777" w:rsidR="004D3B6D" w:rsidRDefault="004D3B6D">
            <w:pPr>
              <w:pStyle w:val="normal0"/>
              <w:rPr>
                <w:rFonts w:ascii="Muli" w:eastAsia="Muli" w:hAnsi="Muli" w:cs="Muli"/>
                <w:b/>
                <w:color w:val="FF126D"/>
                <w:sz w:val="20"/>
                <w:szCs w:val="20"/>
              </w:rPr>
            </w:pPr>
          </w:p>
          <w:p w14:paraId="2D479BD0" w14:textId="77777777" w:rsidR="004D3B6D" w:rsidRDefault="004D3B6D">
            <w:pPr>
              <w:pStyle w:val="normal0"/>
              <w:rPr>
                <w:rFonts w:ascii="Muli" w:eastAsia="Muli" w:hAnsi="Muli" w:cs="Muli"/>
                <w:b/>
                <w:color w:val="FF126D"/>
                <w:sz w:val="20"/>
                <w:szCs w:val="20"/>
              </w:rPr>
            </w:pPr>
          </w:p>
        </w:tc>
      </w:tr>
      <w:tr w:rsidR="004D3B6D" w14:paraId="1A175A15" w14:textId="77777777">
        <w:trPr>
          <w:trHeight w:val="380"/>
        </w:trPr>
        <w:tc>
          <w:tcPr>
            <w:tcW w:w="14670" w:type="dxa"/>
            <w:gridSpan w:val="2"/>
            <w:shd w:val="clear" w:color="auto" w:fill="CCCCCC"/>
            <w:tcMar>
              <w:top w:w="99" w:type="dxa"/>
              <w:left w:w="99" w:type="dxa"/>
              <w:bottom w:w="99" w:type="dxa"/>
              <w:right w:w="99" w:type="dxa"/>
            </w:tcMar>
          </w:tcPr>
          <w:p w14:paraId="1004900F" w14:textId="77777777" w:rsidR="004D3B6D" w:rsidRDefault="003F4555">
            <w:pPr>
              <w:pStyle w:val="normal0"/>
              <w:spacing w:before="132"/>
              <w:rPr>
                <w:rFonts w:ascii="Muli" w:eastAsia="Muli" w:hAnsi="Muli" w:cs="Muli"/>
                <w:sz w:val="20"/>
                <w:szCs w:val="20"/>
              </w:rPr>
            </w:pPr>
            <w:r>
              <w:rPr>
                <w:rFonts w:ascii="Muli" w:eastAsia="Muli" w:hAnsi="Muli" w:cs="Muli"/>
                <w:b/>
                <w:color w:val="1C1C1C"/>
                <w:sz w:val="20"/>
                <w:szCs w:val="20"/>
              </w:rPr>
              <w:lastRenderedPageBreak/>
              <w:t>SW 4: Metacognitive Abilities</w:t>
            </w:r>
          </w:p>
        </w:tc>
      </w:tr>
      <w:tr w:rsidR="004D3B6D" w14:paraId="455E80E2" w14:textId="77777777">
        <w:trPr>
          <w:trHeight w:val="640"/>
        </w:trPr>
        <w:tc>
          <w:tcPr>
            <w:tcW w:w="14670" w:type="dxa"/>
            <w:gridSpan w:val="2"/>
            <w:shd w:val="clear" w:color="auto" w:fill="EFEFEF"/>
            <w:tcMar>
              <w:top w:w="99" w:type="dxa"/>
              <w:left w:w="99" w:type="dxa"/>
              <w:bottom w:w="99" w:type="dxa"/>
              <w:right w:w="99" w:type="dxa"/>
            </w:tcMar>
          </w:tcPr>
          <w:p w14:paraId="0CE787D0" w14:textId="77777777" w:rsidR="004D3B6D" w:rsidRDefault="003F4555">
            <w:pPr>
              <w:pStyle w:val="normal0"/>
              <w:rPr>
                <w:rFonts w:ascii="Muli" w:eastAsia="Muli" w:hAnsi="Muli" w:cs="Muli"/>
                <w:b/>
                <w:color w:val="2F5496"/>
                <w:sz w:val="20"/>
                <w:szCs w:val="20"/>
              </w:rPr>
            </w:pPr>
            <w:r>
              <w:rPr>
                <w:rFonts w:ascii="Muli" w:eastAsia="Muli" w:hAnsi="Muli" w:cs="Muli"/>
                <w:b/>
                <w:color w:val="2F5496"/>
                <w:sz w:val="20"/>
                <w:szCs w:val="20"/>
              </w:rPr>
              <w:t>The Student Work is High Quality (5) in terms of SW4</w:t>
            </w:r>
          </w:p>
          <w:p w14:paraId="2951E22C" w14:textId="77777777" w:rsidR="004D3B6D" w:rsidRDefault="003F4555">
            <w:pPr>
              <w:pStyle w:val="normal0"/>
              <w:spacing w:before="1"/>
              <w:ind w:right="280"/>
              <w:rPr>
                <w:rFonts w:ascii="Muli" w:eastAsia="Muli" w:hAnsi="Muli" w:cs="Muli"/>
                <w:b/>
                <w:sz w:val="20"/>
                <w:szCs w:val="20"/>
              </w:rPr>
            </w:pPr>
            <w:r>
              <w:rPr>
                <w:rFonts w:ascii="Muli" w:eastAsia="Muli" w:hAnsi="Muli" w:cs="Muli"/>
                <w:sz w:val="20"/>
                <w:szCs w:val="20"/>
              </w:rPr>
              <w:t>The materials provide students with regular, explicit opportunities to consider how their learning experiences changed their thinking.</w:t>
            </w:r>
          </w:p>
        </w:tc>
      </w:tr>
      <w:tr w:rsidR="004D3B6D" w14:paraId="0E232A7C" w14:textId="77777777">
        <w:trPr>
          <w:trHeight w:val="3340"/>
        </w:trPr>
        <w:tc>
          <w:tcPr>
            <w:tcW w:w="10665" w:type="dxa"/>
            <w:tcMar>
              <w:top w:w="99" w:type="dxa"/>
              <w:left w:w="99" w:type="dxa"/>
              <w:bottom w:w="99" w:type="dxa"/>
              <w:right w:w="99" w:type="dxa"/>
            </w:tcMar>
          </w:tcPr>
          <w:p w14:paraId="55834234" w14:textId="77777777" w:rsidR="004D3B6D" w:rsidRDefault="003F4555">
            <w:pPr>
              <w:pStyle w:val="normal0"/>
              <w:rPr>
                <w:rFonts w:ascii="Muli" w:eastAsia="Muli" w:hAnsi="Muli" w:cs="Muli"/>
                <w:b/>
                <w:color w:val="FF126D"/>
                <w:sz w:val="20"/>
                <w:szCs w:val="20"/>
              </w:rPr>
            </w:pPr>
            <w:r>
              <w:rPr>
                <w:rFonts w:ascii="Muli" w:eastAsia="Muli" w:hAnsi="Muli" w:cs="Muli"/>
                <w:b/>
                <w:color w:val="FF126D"/>
                <w:sz w:val="20"/>
                <w:szCs w:val="20"/>
              </w:rPr>
              <w:t>Evidence</w:t>
            </w:r>
          </w:p>
          <w:p w14:paraId="278FB882" w14:textId="77777777" w:rsidR="004D3B6D" w:rsidRDefault="003F4555">
            <w:pPr>
              <w:pStyle w:val="normal0"/>
              <w:numPr>
                <w:ilvl w:val="0"/>
                <w:numId w:val="11"/>
              </w:numPr>
              <w:rPr>
                <w:rFonts w:ascii="Muli" w:eastAsia="Muli" w:hAnsi="Muli" w:cs="Muli"/>
                <w:sz w:val="20"/>
                <w:szCs w:val="20"/>
              </w:rPr>
            </w:pPr>
            <w:r>
              <w:rPr>
                <w:rFonts w:ascii="Muli" w:eastAsia="Muli" w:hAnsi="Muli" w:cs="Muli"/>
                <w:sz w:val="20"/>
                <w:szCs w:val="20"/>
              </w:rPr>
              <w:t>Students consider what they have learned so far, and write or draw to complete a sentence that partly answers the Module Phenomenon (DQ1L5 TB p. 14).</w:t>
            </w:r>
          </w:p>
          <w:p w14:paraId="4FA6111E" w14:textId="77777777" w:rsidR="004D3B6D" w:rsidRDefault="003F4555">
            <w:pPr>
              <w:pStyle w:val="normal0"/>
              <w:numPr>
                <w:ilvl w:val="0"/>
                <w:numId w:val="11"/>
              </w:numPr>
              <w:rPr>
                <w:rFonts w:ascii="Muli" w:eastAsia="Muli" w:hAnsi="Muli" w:cs="Muli"/>
                <w:sz w:val="20"/>
                <w:szCs w:val="20"/>
              </w:rPr>
            </w:pPr>
            <w:r>
              <w:rPr>
                <w:rFonts w:ascii="Muli" w:eastAsia="Muli" w:hAnsi="Muli" w:cs="Muli"/>
                <w:sz w:val="20"/>
                <w:szCs w:val="20"/>
              </w:rPr>
              <w:t xml:space="preserve">The teacher uses a Meta-Think-Aloud to show how the Change Direction visual might be analyzed, explicitly </w:t>
            </w:r>
            <w:r>
              <w:rPr>
                <w:rFonts w:ascii="Muli" w:eastAsia="Muli" w:hAnsi="Muli" w:cs="Muli"/>
                <w:sz w:val="20"/>
                <w:szCs w:val="20"/>
              </w:rPr>
              <w:t>pointing out key aspects of the image and their significance (DQ1L6 TE p. 45).</w:t>
            </w:r>
          </w:p>
          <w:p w14:paraId="30EB8716" w14:textId="77777777" w:rsidR="004D3B6D" w:rsidRDefault="003F4555">
            <w:pPr>
              <w:pStyle w:val="normal0"/>
              <w:numPr>
                <w:ilvl w:val="0"/>
                <w:numId w:val="11"/>
              </w:numPr>
              <w:rPr>
                <w:rFonts w:ascii="Muli" w:eastAsia="Muli" w:hAnsi="Muli" w:cs="Muli"/>
                <w:sz w:val="20"/>
                <w:szCs w:val="20"/>
              </w:rPr>
            </w:pPr>
            <w:r>
              <w:rPr>
                <w:rFonts w:ascii="Muli" w:eastAsia="Muli" w:hAnsi="Muli" w:cs="Muli"/>
                <w:sz w:val="20"/>
                <w:szCs w:val="20"/>
              </w:rPr>
              <w:t>Students reflect on different ideas the class came up with for using a Score 10 Tool and a marble, and write or draw which idea they think is best and why</w:t>
            </w:r>
            <w:r>
              <w:rPr>
                <w:rFonts w:ascii="Muli" w:eastAsia="Muli" w:hAnsi="Muli" w:cs="Muli"/>
                <w:b/>
                <w:color w:val="FF126D"/>
                <w:sz w:val="20"/>
                <w:szCs w:val="20"/>
              </w:rPr>
              <w:t xml:space="preserve"> (DQ2L1 TE p. 89)</w:t>
            </w:r>
            <w:r>
              <w:rPr>
                <w:rFonts w:ascii="Muli" w:eastAsia="Muli" w:hAnsi="Muli" w:cs="Muli"/>
                <w:sz w:val="20"/>
                <w:szCs w:val="20"/>
              </w:rPr>
              <w:t>.</w:t>
            </w:r>
          </w:p>
          <w:p w14:paraId="56AA3301" w14:textId="77777777" w:rsidR="004D3B6D" w:rsidRDefault="003F4555">
            <w:pPr>
              <w:pStyle w:val="normal0"/>
              <w:numPr>
                <w:ilvl w:val="0"/>
                <w:numId w:val="11"/>
              </w:numPr>
              <w:contextualSpacing/>
              <w:rPr>
                <w:rFonts w:ascii="Muli" w:eastAsia="Muli" w:hAnsi="Muli" w:cs="Muli"/>
                <w:sz w:val="20"/>
                <w:szCs w:val="20"/>
              </w:rPr>
            </w:pPr>
            <w:r>
              <w:rPr>
                <w:rFonts w:ascii="Muli" w:eastAsia="Muli" w:hAnsi="Muli" w:cs="Muli"/>
                <w:sz w:val="20"/>
                <w:szCs w:val="20"/>
              </w:rPr>
              <w:t>Stud</w:t>
            </w:r>
            <w:r>
              <w:rPr>
                <w:rFonts w:ascii="Muli" w:eastAsia="Muli" w:hAnsi="Muli" w:cs="Muli"/>
                <w:sz w:val="20"/>
                <w:szCs w:val="20"/>
              </w:rPr>
              <w:t>ents reflect on what they learned during a marble game and what useful information they could give someone who wanted to play the game (DQ2L2 TB p. 35).</w:t>
            </w:r>
          </w:p>
          <w:p w14:paraId="5A73894D" w14:textId="77777777" w:rsidR="004D3B6D" w:rsidRDefault="003F4555">
            <w:pPr>
              <w:pStyle w:val="normal0"/>
              <w:numPr>
                <w:ilvl w:val="0"/>
                <w:numId w:val="11"/>
              </w:numPr>
              <w:contextualSpacing/>
              <w:rPr>
                <w:rFonts w:ascii="Muli" w:eastAsia="Muli" w:hAnsi="Muli" w:cs="Muli"/>
                <w:sz w:val="20"/>
                <w:szCs w:val="20"/>
              </w:rPr>
            </w:pPr>
            <w:r>
              <w:rPr>
                <w:rFonts w:ascii="Muli" w:eastAsia="Muli" w:hAnsi="Muli" w:cs="Muli"/>
                <w:sz w:val="20"/>
                <w:szCs w:val="20"/>
              </w:rPr>
              <w:t>The ‘I Can’ statement details use of the three dimensions students will use in this Driving Question. “</w:t>
            </w:r>
            <w:r>
              <w:rPr>
                <w:rFonts w:ascii="Muli" w:eastAsia="Muli" w:hAnsi="Muli" w:cs="Muli"/>
                <w:sz w:val="20"/>
                <w:szCs w:val="20"/>
              </w:rPr>
              <w:t>I can... use a design to build a marble run.” (DQ3 TB p. 48)</w:t>
            </w:r>
          </w:p>
          <w:p w14:paraId="1D6723F2" w14:textId="77777777" w:rsidR="004D3B6D" w:rsidRDefault="003F4555">
            <w:pPr>
              <w:pStyle w:val="normal0"/>
              <w:numPr>
                <w:ilvl w:val="0"/>
                <w:numId w:val="11"/>
              </w:numPr>
              <w:contextualSpacing/>
              <w:rPr>
                <w:rFonts w:ascii="Muli" w:eastAsia="Muli" w:hAnsi="Muli" w:cs="Muli"/>
                <w:sz w:val="20"/>
                <w:szCs w:val="20"/>
              </w:rPr>
            </w:pPr>
            <w:r>
              <w:rPr>
                <w:rFonts w:ascii="Muli" w:eastAsia="Muli" w:hAnsi="Muli" w:cs="Muli"/>
                <w:sz w:val="20"/>
                <w:szCs w:val="20"/>
              </w:rPr>
              <w:t>Students reflect on what they have learned during their Engineering Design Challenge (DQ3L5 TB p. 66).</w:t>
            </w:r>
          </w:p>
        </w:tc>
        <w:tc>
          <w:tcPr>
            <w:tcW w:w="4005" w:type="dxa"/>
            <w:tcMar>
              <w:top w:w="99" w:type="dxa"/>
              <w:left w:w="99" w:type="dxa"/>
              <w:bottom w:w="99" w:type="dxa"/>
              <w:right w:w="99" w:type="dxa"/>
            </w:tcMar>
          </w:tcPr>
          <w:p w14:paraId="18DAADA5" w14:textId="77777777" w:rsidR="004D3B6D" w:rsidRDefault="003F4555">
            <w:pPr>
              <w:pStyle w:val="normal0"/>
              <w:pBdr>
                <w:top w:val="nil"/>
                <w:left w:val="nil"/>
                <w:bottom w:val="nil"/>
                <w:right w:val="nil"/>
                <w:between w:val="nil"/>
              </w:pBdr>
              <w:rPr>
                <w:rFonts w:ascii="Muli" w:eastAsia="Muli" w:hAnsi="Muli" w:cs="Muli"/>
                <w:sz w:val="18"/>
                <w:szCs w:val="18"/>
              </w:rPr>
            </w:pPr>
            <w:r>
              <w:rPr>
                <w:rFonts w:ascii="Muli" w:eastAsia="Muli" w:hAnsi="Muli" w:cs="Muli"/>
                <w:noProof/>
                <w:sz w:val="18"/>
                <w:szCs w:val="18"/>
              </w:rPr>
              <w:drawing>
                <wp:inline distT="114300" distB="114300" distL="114300" distR="114300" wp14:anchorId="308C5B22" wp14:editId="1390EC37">
                  <wp:extent cx="2409825" cy="1543050"/>
                  <wp:effectExtent l="12700" t="12700" r="12700" b="127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b="12903"/>
                          <a:stretch>
                            <a:fillRect/>
                          </a:stretch>
                        </pic:blipFill>
                        <pic:spPr>
                          <a:xfrm>
                            <a:off x="0" y="0"/>
                            <a:ext cx="2409825" cy="1543050"/>
                          </a:xfrm>
                          <a:prstGeom prst="rect">
                            <a:avLst/>
                          </a:prstGeom>
                          <a:ln w="12700">
                            <a:solidFill>
                              <a:srgbClr val="D9D9D9"/>
                            </a:solidFill>
                            <a:prstDash val="solid"/>
                          </a:ln>
                        </pic:spPr>
                      </pic:pic>
                    </a:graphicData>
                  </a:graphic>
                </wp:inline>
              </w:drawing>
            </w:r>
          </w:p>
          <w:p w14:paraId="1844454C" w14:textId="77777777" w:rsidR="004D3B6D" w:rsidRDefault="003F4555">
            <w:pPr>
              <w:pStyle w:val="normal0"/>
              <w:rPr>
                <w:rFonts w:ascii="Muli" w:eastAsia="Muli" w:hAnsi="Muli" w:cs="Muli"/>
                <w:sz w:val="18"/>
                <w:szCs w:val="18"/>
              </w:rPr>
            </w:pPr>
            <w:r>
              <w:rPr>
                <w:rFonts w:ascii="Muli" w:eastAsia="Muli" w:hAnsi="Muli" w:cs="Muli"/>
                <w:b/>
                <w:color w:val="FF126D"/>
                <w:sz w:val="20"/>
                <w:szCs w:val="20"/>
              </w:rPr>
              <w:t>DQ2L1 TE p. 89</w:t>
            </w:r>
          </w:p>
        </w:tc>
      </w:tr>
      <w:tr w:rsidR="004D3B6D" w14:paraId="033E80A7" w14:textId="77777777">
        <w:trPr>
          <w:trHeight w:val="440"/>
        </w:trPr>
        <w:tc>
          <w:tcPr>
            <w:tcW w:w="14670" w:type="dxa"/>
            <w:gridSpan w:val="2"/>
            <w:shd w:val="clear" w:color="auto" w:fill="CCCCCC"/>
          </w:tcPr>
          <w:p w14:paraId="7621A186" w14:textId="77777777" w:rsidR="004D3B6D" w:rsidRDefault="003F4555">
            <w:pPr>
              <w:pStyle w:val="normal0"/>
              <w:spacing w:before="1"/>
              <w:ind w:left="180" w:right="633"/>
              <w:rPr>
                <w:rFonts w:ascii="Muli" w:eastAsia="Muli" w:hAnsi="Muli" w:cs="Muli"/>
                <w:sz w:val="20"/>
                <w:szCs w:val="20"/>
              </w:rPr>
            </w:pPr>
            <w:r>
              <w:rPr>
                <w:rFonts w:ascii="Muli" w:eastAsia="Muli" w:hAnsi="Muli" w:cs="Muli"/>
                <w:b/>
                <w:color w:val="1C1C1C"/>
                <w:sz w:val="20"/>
                <w:szCs w:val="20"/>
              </w:rPr>
              <w:t>SW 5: Equitable Learning Opportunities</w:t>
            </w:r>
          </w:p>
        </w:tc>
      </w:tr>
      <w:tr w:rsidR="004D3B6D" w14:paraId="155B1746" w14:textId="77777777">
        <w:trPr>
          <w:trHeight w:val="840"/>
        </w:trPr>
        <w:tc>
          <w:tcPr>
            <w:tcW w:w="14670" w:type="dxa"/>
            <w:gridSpan w:val="2"/>
            <w:shd w:val="clear" w:color="auto" w:fill="EFEFEF"/>
          </w:tcPr>
          <w:p w14:paraId="0FDA3A99" w14:textId="77777777" w:rsidR="004D3B6D" w:rsidRDefault="003F4555">
            <w:pPr>
              <w:pStyle w:val="normal0"/>
              <w:ind w:left="180"/>
              <w:rPr>
                <w:rFonts w:ascii="Muli" w:eastAsia="Muli" w:hAnsi="Muli" w:cs="Muli"/>
                <w:b/>
                <w:color w:val="2F5496"/>
                <w:sz w:val="20"/>
                <w:szCs w:val="20"/>
              </w:rPr>
            </w:pPr>
            <w:r>
              <w:rPr>
                <w:rFonts w:ascii="Muli" w:eastAsia="Muli" w:hAnsi="Muli" w:cs="Muli"/>
                <w:b/>
                <w:color w:val="2F5496"/>
                <w:sz w:val="20"/>
                <w:szCs w:val="20"/>
              </w:rPr>
              <w:t>The Student Work is High Quality (5) in terms of SW5</w:t>
            </w:r>
          </w:p>
          <w:p w14:paraId="4206AE57" w14:textId="77777777" w:rsidR="004D3B6D" w:rsidRDefault="003F4555">
            <w:pPr>
              <w:pStyle w:val="normal0"/>
              <w:spacing w:before="1"/>
              <w:ind w:left="180" w:right="233"/>
              <w:rPr>
                <w:rFonts w:ascii="Muli" w:eastAsia="Muli" w:hAnsi="Muli" w:cs="Muli"/>
                <w:sz w:val="20"/>
                <w:szCs w:val="20"/>
              </w:rPr>
            </w:pPr>
            <w:r>
              <w:rPr>
                <w:rFonts w:ascii="Muli" w:eastAsia="Muli" w:hAnsi="Muli" w:cs="Muli"/>
                <w:sz w:val="20"/>
                <w:szCs w:val="20"/>
              </w:rPr>
              <w:t>Most learning experiences in materials are designed such that students can engage meaningfully in a variety of ways, with multiple access points, and with supports for students.</w:t>
            </w:r>
          </w:p>
        </w:tc>
      </w:tr>
      <w:tr w:rsidR="004D3B6D" w14:paraId="3235478E" w14:textId="77777777" w:rsidTr="003F4555">
        <w:trPr>
          <w:trHeight w:val="316"/>
        </w:trPr>
        <w:tc>
          <w:tcPr>
            <w:tcW w:w="10665" w:type="dxa"/>
            <w:tcMar>
              <w:top w:w="99" w:type="dxa"/>
              <w:left w:w="99" w:type="dxa"/>
              <w:bottom w:w="99" w:type="dxa"/>
              <w:right w:w="99" w:type="dxa"/>
            </w:tcMar>
          </w:tcPr>
          <w:p w14:paraId="62989FD6" w14:textId="77777777" w:rsidR="004D3B6D" w:rsidRDefault="003F4555">
            <w:pPr>
              <w:pStyle w:val="normal0"/>
              <w:rPr>
                <w:rFonts w:ascii="Muli" w:eastAsia="Muli" w:hAnsi="Muli" w:cs="Muli"/>
                <w:sz w:val="20"/>
                <w:szCs w:val="20"/>
              </w:rPr>
            </w:pPr>
            <w:r>
              <w:rPr>
                <w:rFonts w:ascii="Muli" w:eastAsia="Muli" w:hAnsi="Muli" w:cs="Muli"/>
                <w:b/>
                <w:color w:val="FF126D"/>
                <w:sz w:val="20"/>
                <w:szCs w:val="20"/>
              </w:rPr>
              <w:t>Evidence</w:t>
            </w:r>
            <w:r>
              <w:rPr>
                <w:rFonts w:ascii="Muli" w:eastAsia="Muli" w:hAnsi="Muli" w:cs="Muli"/>
                <w:b/>
                <w:sz w:val="20"/>
                <w:szCs w:val="20"/>
              </w:rPr>
              <w:t xml:space="preserve"> </w:t>
            </w:r>
          </w:p>
          <w:p w14:paraId="1438B28E" w14:textId="77777777" w:rsidR="004D3B6D" w:rsidRDefault="003F4555">
            <w:pPr>
              <w:pStyle w:val="normal0"/>
              <w:numPr>
                <w:ilvl w:val="0"/>
                <w:numId w:val="14"/>
              </w:numPr>
              <w:contextualSpacing/>
              <w:rPr>
                <w:rFonts w:ascii="Muli" w:eastAsia="Muli" w:hAnsi="Muli" w:cs="Muli"/>
                <w:sz w:val="18"/>
                <w:szCs w:val="18"/>
              </w:rPr>
            </w:pPr>
            <w:r>
              <w:rPr>
                <w:rFonts w:ascii="Muli" w:eastAsia="Muli" w:hAnsi="Muli" w:cs="Muli"/>
                <w:sz w:val="18"/>
                <w:szCs w:val="18"/>
              </w:rPr>
              <w:t>I</w:t>
            </w:r>
            <w:r>
              <w:rPr>
                <w:rFonts w:ascii="Muli" w:eastAsia="Muli" w:hAnsi="Muli" w:cs="Muli"/>
                <w:sz w:val="20"/>
                <w:szCs w:val="20"/>
              </w:rPr>
              <w:t>ntegrated EL sidebars offer teachers guidance to support students’ engagement with the material (DQ1L1 TE p. 11, DQ1L2 TE p. 18, DQ1L8 TE p. 59, DQ2L5 TE p. 110, DQ3L5 TE p. 161).</w:t>
            </w:r>
          </w:p>
          <w:p w14:paraId="5E26B4F2" w14:textId="77777777" w:rsidR="004D3B6D" w:rsidRDefault="003F4555">
            <w:pPr>
              <w:pStyle w:val="normal0"/>
              <w:numPr>
                <w:ilvl w:val="0"/>
                <w:numId w:val="14"/>
              </w:numPr>
              <w:contextualSpacing/>
              <w:rPr>
                <w:rFonts w:ascii="Muli" w:eastAsia="Muli" w:hAnsi="Muli" w:cs="Muli"/>
                <w:sz w:val="20"/>
                <w:szCs w:val="20"/>
              </w:rPr>
            </w:pPr>
            <w:r>
              <w:rPr>
                <w:rFonts w:ascii="Muli" w:eastAsia="Muli" w:hAnsi="Muli" w:cs="Muli"/>
                <w:sz w:val="20"/>
                <w:szCs w:val="20"/>
              </w:rPr>
              <w:t>Integrated Cultural Connection sidebars offer teachers guidance to engage st</w:t>
            </w:r>
            <w:r>
              <w:rPr>
                <w:rFonts w:ascii="Muli" w:eastAsia="Muli" w:hAnsi="Muli" w:cs="Muli"/>
                <w:sz w:val="20"/>
                <w:szCs w:val="20"/>
              </w:rPr>
              <w:t>udents of all backgrounds and abilities (DQ2L1 TE p. 86, DQ2L5 TE p. 114, DQ3L6 TE p. 168).</w:t>
            </w:r>
          </w:p>
          <w:p w14:paraId="0DF88D12" w14:textId="77777777" w:rsidR="004D3B6D" w:rsidRDefault="003F4555">
            <w:pPr>
              <w:pStyle w:val="normal0"/>
              <w:numPr>
                <w:ilvl w:val="0"/>
                <w:numId w:val="14"/>
              </w:numPr>
              <w:contextualSpacing/>
              <w:rPr>
                <w:rFonts w:ascii="Muli" w:eastAsia="Muli" w:hAnsi="Muli" w:cs="Muli"/>
                <w:sz w:val="20"/>
                <w:szCs w:val="20"/>
              </w:rPr>
            </w:pPr>
            <w:r>
              <w:rPr>
                <w:rFonts w:ascii="Muli" w:eastAsia="Muli" w:hAnsi="Muli" w:cs="Muli"/>
                <w:sz w:val="20"/>
                <w:szCs w:val="20"/>
              </w:rPr>
              <w:t>Integrated Special Needs sidebars offer teachers guidance to support students of all abilities as they participation in class activities and grasp key concepts (DQ1</w:t>
            </w:r>
            <w:r>
              <w:rPr>
                <w:rFonts w:ascii="Muli" w:eastAsia="Muli" w:hAnsi="Muli" w:cs="Muli"/>
                <w:sz w:val="20"/>
                <w:szCs w:val="20"/>
              </w:rPr>
              <w:t>L2 TE p. 17, DQ1L3 TE p. 27, DQ2L1 TE p. 88, DQ3L2 TE p. 142, DQ3L6 TE p. 166).</w:t>
            </w:r>
          </w:p>
          <w:p w14:paraId="1348A743" w14:textId="77777777" w:rsidR="004D3B6D" w:rsidRDefault="003F4555">
            <w:pPr>
              <w:pStyle w:val="normal0"/>
              <w:numPr>
                <w:ilvl w:val="0"/>
                <w:numId w:val="14"/>
              </w:numPr>
              <w:contextualSpacing/>
              <w:rPr>
                <w:rFonts w:ascii="Muli" w:eastAsia="Muli" w:hAnsi="Muli" w:cs="Muli"/>
                <w:sz w:val="20"/>
                <w:szCs w:val="20"/>
              </w:rPr>
            </w:pPr>
            <w:r>
              <w:rPr>
                <w:rFonts w:ascii="Muli" w:eastAsia="Muli" w:hAnsi="Muli" w:cs="Muli"/>
                <w:sz w:val="20"/>
                <w:szCs w:val="20"/>
              </w:rPr>
              <w:t>Integrated Challenges interspersed throughout the TB support GATE students who have met the learning goals (DQ1L1 TB p. 3, DQ1L8 TB p. 21, DQ2L3 TB p. 35, DQ2L5 TB p. 42,</w:t>
            </w:r>
            <w:r>
              <w:rPr>
                <w:rFonts w:ascii="Muli" w:eastAsia="Muli" w:hAnsi="Muli" w:cs="Muli"/>
                <w:b/>
                <w:color w:val="FF126D"/>
                <w:sz w:val="20"/>
                <w:szCs w:val="20"/>
              </w:rPr>
              <w:t xml:space="preserve"> DQ3L4</w:t>
            </w:r>
            <w:r>
              <w:rPr>
                <w:rFonts w:ascii="Muli" w:eastAsia="Muli" w:hAnsi="Muli" w:cs="Muli"/>
                <w:b/>
                <w:color w:val="FF126D"/>
                <w:sz w:val="20"/>
                <w:szCs w:val="20"/>
              </w:rPr>
              <w:t xml:space="preserve"> TB p. 61</w:t>
            </w:r>
            <w:r>
              <w:rPr>
                <w:rFonts w:ascii="Muli" w:eastAsia="Muli" w:hAnsi="Muli" w:cs="Muli"/>
                <w:sz w:val="20"/>
                <w:szCs w:val="20"/>
              </w:rPr>
              <w:t>).</w:t>
            </w:r>
          </w:p>
          <w:p w14:paraId="65455FE6" w14:textId="77777777" w:rsidR="004D3B6D" w:rsidRPr="003F4555" w:rsidRDefault="003F4555" w:rsidP="003F4555">
            <w:pPr>
              <w:pStyle w:val="normal0"/>
              <w:numPr>
                <w:ilvl w:val="0"/>
                <w:numId w:val="14"/>
              </w:numPr>
              <w:contextualSpacing/>
              <w:rPr>
                <w:rFonts w:ascii="Muli" w:eastAsia="Muli" w:hAnsi="Muli" w:cs="Muli"/>
                <w:sz w:val="20"/>
                <w:szCs w:val="20"/>
              </w:rPr>
            </w:pPr>
            <w:r>
              <w:rPr>
                <w:rFonts w:ascii="Muli" w:eastAsia="Muli" w:hAnsi="Muli" w:cs="Muli"/>
                <w:sz w:val="20"/>
                <w:szCs w:val="20"/>
              </w:rPr>
              <w:t>Videos (</w:t>
            </w:r>
            <w:r>
              <w:rPr>
                <w:rFonts w:ascii="Muli" w:eastAsia="Muli" w:hAnsi="Muli" w:cs="Muli"/>
                <w:sz w:val="20"/>
                <w:szCs w:val="20"/>
              </w:rPr>
              <w:t>What Makes Things Move? (DQ1L3), Exploring Forces (DQ1L4), Gravity (DQ1L8))</w:t>
            </w:r>
            <w:r>
              <w:rPr>
                <w:rFonts w:ascii="Muli" w:eastAsia="Muli" w:hAnsi="Muli" w:cs="Muli"/>
                <w:sz w:val="20"/>
                <w:szCs w:val="20"/>
              </w:rPr>
              <w:t xml:space="preserve"> bring </w:t>
            </w:r>
            <w:r>
              <w:rPr>
                <w:rFonts w:ascii="Muli" w:eastAsia="Muli" w:hAnsi="Muli" w:cs="Muli"/>
                <w:sz w:val="20"/>
                <w:szCs w:val="20"/>
              </w:rPr>
              <w:lastRenderedPageBreak/>
              <w:t xml:space="preserve">phenomena and concepts to life for all students. </w:t>
            </w:r>
          </w:p>
        </w:tc>
        <w:tc>
          <w:tcPr>
            <w:tcW w:w="4005" w:type="dxa"/>
            <w:tcMar>
              <w:top w:w="99" w:type="dxa"/>
              <w:left w:w="99" w:type="dxa"/>
              <w:bottom w:w="99" w:type="dxa"/>
              <w:right w:w="99" w:type="dxa"/>
            </w:tcMar>
          </w:tcPr>
          <w:p w14:paraId="317CDAFD" w14:textId="77777777" w:rsidR="004D3B6D" w:rsidRDefault="003F4555">
            <w:pPr>
              <w:pStyle w:val="normal0"/>
              <w:pBdr>
                <w:top w:val="nil"/>
                <w:left w:val="nil"/>
                <w:bottom w:val="nil"/>
                <w:right w:val="nil"/>
                <w:between w:val="nil"/>
              </w:pBdr>
              <w:rPr>
                <w:rFonts w:ascii="Muli" w:eastAsia="Muli" w:hAnsi="Muli" w:cs="Muli"/>
                <w:sz w:val="18"/>
                <w:szCs w:val="18"/>
              </w:rPr>
            </w:pPr>
            <w:r>
              <w:rPr>
                <w:rFonts w:ascii="Muli" w:eastAsia="Muli" w:hAnsi="Muli" w:cs="Muli"/>
                <w:noProof/>
                <w:sz w:val="18"/>
                <w:szCs w:val="18"/>
              </w:rPr>
              <w:lastRenderedPageBreak/>
              <w:drawing>
                <wp:inline distT="114300" distB="114300" distL="114300" distR="114300" wp14:anchorId="39C2AAAF" wp14:editId="7C1AD7F5">
                  <wp:extent cx="2408937" cy="1747838"/>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2408937" cy="1747838"/>
                          </a:xfrm>
                          <a:prstGeom prst="rect">
                            <a:avLst/>
                          </a:prstGeom>
                          <a:ln/>
                        </pic:spPr>
                      </pic:pic>
                    </a:graphicData>
                  </a:graphic>
                </wp:inline>
              </w:drawing>
            </w:r>
          </w:p>
          <w:p w14:paraId="1DE9ECFC" w14:textId="77777777" w:rsidR="004D3B6D" w:rsidRDefault="003F4555">
            <w:pPr>
              <w:pStyle w:val="normal0"/>
              <w:rPr>
                <w:rFonts w:ascii="Muli" w:eastAsia="Muli" w:hAnsi="Muli" w:cs="Muli"/>
                <w:sz w:val="18"/>
                <w:szCs w:val="18"/>
              </w:rPr>
            </w:pPr>
            <w:r>
              <w:rPr>
                <w:rFonts w:ascii="Muli" w:eastAsia="Muli" w:hAnsi="Muli" w:cs="Muli"/>
                <w:b/>
                <w:color w:val="FF126D"/>
                <w:sz w:val="20"/>
                <w:szCs w:val="20"/>
              </w:rPr>
              <w:t>DQ3L4 TB p. 61</w:t>
            </w:r>
          </w:p>
        </w:tc>
      </w:tr>
    </w:tbl>
    <w:p w14:paraId="4106DB6B" w14:textId="77777777" w:rsidR="004D3B6D" w:rsidRDefault="004D3B6D">
      <w:pPr>
        <w:pStyle w:val="normal0"/>
        <w:pBdr>
          <w:top w:val="nil"/>
          <w:left w:val="nil"/>
          <w:bottom w:val="nil"/>
          <w:right w:val="nil"/>
          <w:between w:val="nil"/>
        </w:pBdr>
        <w:spacing w:line="276" w:lineRule="auto"/>
        <w:rPr>
          <w:rFonts w:ascii="Muli" w:eastAsia="Muli" w:hAnsi="Muli" w:cs="Muli"/>
          <w:color w:val="000000"/>
          <w:sz w:val="18"/>
          <w:szCs w:val="18"/>
        </w:rPr>
      </w:pPr>
      <w:bookmarkStart w:id="0" w:name="_GoBack"/>
      <w:bookmarkEnd w:id="0"/>
    </w:p>
    <w:sectPr w:rsidR="004D3B6D">
      <w:headerReference w:type="default" r:id="rId27"/>
      <w:footerReference w:type="even" r:id="rId28"/>
      <w:footerReference w:type="default" r:id="rId29"/>
      <w:headerReference w:type="first" r:id="rId30"/>
      <w:footerReference w:type="first" r:id="rId31"/>
      <w:pgSz w:w="15840" w:h="12240"/>
      <w:pgMar w:top="980" w:right="560" w:bottom="640" w:left="600" w:header="360" w:footer="443" w:gutter="0"/>
      <w:pgNumType w:start="1"/>
      <w:cols w:space="720" w:equalWidth="0">
        <w:col w:w="14680" w:space="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B84D9" w14:textId="77777777" w:rsidR="00000000" w:rsidRDefault="003F4555">
      <w:r>
        <w:separator/>
      </w:r>
    </w:p>
  </w:endnote>
  <w:endnote w:type="continuationSeparator" w:id="0">
    <w:p w14:paraId="632CF136" w14:textId="77777777" w:rsidR="00000000" w:rsidRDefault="003F4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uli">
    <w:panose1 w:val="02000503000000000000"/>
    <w:charset w:val="00"/>
    <w:family w:val="auto"/>
    <w:pitch w:val="variable"/>
    <w:sig w:usb0="A00000EF" w:usb1="4000204B" w:usb2="00000000" w:usb3="00000000" w:csb0="00000093"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B5B42" w14:textId="77777777" w:rsidR="003F4555" w:rsidRDefault="003F4555" w:rsidP="009A03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98E684" w14:textId="77777777" w:rsidR="003F4555" w:rsidRDefault="003F4555" w:rsidP="003F455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04A35" w14:textId="77777777" w:rsidR="003F4555" w:rsidRDefault="003F4555" w:rsidP="009A03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463BCD03" w14:textId="77777777" w:rsidR="004D3B6D" w:rsidRDefault="004D3B6D" w:rsidP="003F4555">
    <w:pPr>
      <w:pStyle w:val="normal0"/>
      <w:pBdr>
        <w:top w:val="nil"/>
        <w:left w:val="nil"/>
        <w:bottom w:val="nil"/>
        <w:right w:val="nil"/>
        <w:between w:val="nil"/>
      </w:pBdr>
      <w:ind w:right="360"/>
      <w:rPr>
        <w:color w:val="000000"/>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3FAAF" w14:textId="77777777" w:rsidR="004D3B6D" w:rsidRDefault="004D3B6D">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56F63" w14:textId="77777777" w:rsidR="00000000" w:rsidRDefault="003F4555">
      <w:r>
        <w:separator/>
      </w:r>
    </w:p>
  </w:footnote>
  <w:footnote w:type="continuationSeparator" w:id="0">
    <w:p w14:paraId="71B6CAC8" w14:textId="77777777" w:rsidR="00000000" w:rsidRDefault="003F45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2364" w14:textId="77777777" w:rsidR="004D3B6D" w:rsidRDefault="003F4555">
    <w:pPr>
      <w:pStyle w:val="normal0"/>
      <w:rPr>
        <w:b/>
      </w:rPr>
    </w:pPr>
    <w:r>
      <w:rPr>
        <w:noProof/>
      </w:rPr>
      <w:drawing>
        <wp:anchor distT="0" distB="0" distL="0" distR="0" simplePos="0" relativeHeight="251658240" behindDoc="0" locked="0" layoutInCell="1" hidden="0" allowOverlap="1" wp14:anchorId="4E6D29B7" wp14:editId="4CE63D14">
          <wp:simplePos x="0" y="0"/>
          <wp:positionH relativeFrom="column">
            <wp:posOffset>7816850</wp:posOffset>
          </wp:positionH>
          <wp:positionV relativeFrom="paragraph">
            <wp:posOffset>0</wp:posOffset>
          </wp:positionV>
          <wp:extent cx="1504950" cy="360045"/>
          <wp:effectExtent l="0" t="0" r="0" b="0"/>
          <wp:wrapTopAndBottom distT="0" dist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280" t="17512" r="77687" b="17586"/>
                  <a:stretch>
                    <a:fillRect/>
                  </a:stretch>
                </pic:blipFill>
                <pic:spPr>
                  <a:xfrm>
                    <a:off x="0" y="0"/>
                    <a:ext cx="1504950" cy="36004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14203" w14:textId="77777777" w:rsidR="004D3B6D" w:rsidRDefault="003F4555">
    <w:pPr>
      <w:pStyle w:val="normal0"/>
    </w:pPr>
    <w:r>
      <w:rPr>
        <w:noProof/>
      </w:rPr>
      <w:drawing>
        <wp:anchor distT="0" distB="0" distL="0" distR="0" simplePos="0" relativeHeight="251659264" behindDoc="0" locked="0" layoutInCell="1" hidden="0" allowOverlap="1" wp14:anchorId="37C1FBD0" wp14:editId="27E62258">
          <wp:simplePos x="0" y="0"/>
          <wp:positionH relativeFrom="column">
            <wp:posOffset>-258762</wp:posOffset>
          </wp:positionH>
          <wp:positionV relativeFrom="paragraph">
            <wp:posOffset>-209549</wp:posOffset>
          </wp:positionV>
          <wp:extent cx="9839325" cy="1414463"/>
          <wp:effectExtent l="0" t="0" r="0" b="0"/>
          <wp:wrapSquare wrapText="bothSides" distT="0" distB="0" distL="0" distR="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9839325" cy="1414463"/>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ADC"/>
    <w:multiLevelType w:val="multilevel"/>
    <w:tmpl w:val="EBCA4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F34612"/>
    <w:multiLevelType w:val="multilevel"/>
    <w:tmpl w:val="C9F69184"/>
    <w:lvl w:ilvl="0">
      <w:numFmt w:val="bullet"/>
      <w:lvlText w:val="●"/>
      <w:lvlJc w:val="left"/>
      <w:pPr>
        <w:ind w:left="460" w:hanging="346"/>
      </w:pPr>
      <w:rPr>
        <w:rFonts w:ascii="Arial" w:eastAsia="Arial" w:hAnsi="Arial" w:cs="Arial"/>
        <w:sz w:val="20"/>
        <w:szCs w:val="20"/>
      </w:rPr>
    </w:lvl>
    <w:lvl w:ilvl="1">
      <w:numFmt w:val="bullet"/>
      <w:lvlText w:val="•"/>
      <w:lvlJc w:val="left"/>
      <w:pPr>
        <w:ind w:left="1143" w:hanging="346"/>
      </w:pPr>
    </w:lvl>
    <w:lvl w:ilvl="2">
      <w:numFmt w:val="bullet"/>
      <w:lvlText w:val="•"/>
      <w:lvlJc w:val="left"/>
      <w:pPr>
        <w:ind w:left="1827" w:hanging="346"/>
      </w:pPr>
    </w:lvl>
    <w:lvl w:ilvl="3">
      <w:numFmt w:val="bullet"/>
      <w:lvlText w:val="•"/>
      <w:lvlJc w:val="left"/>
      <w:pPr>
        <w:ind w:left="2510" w:hanging="346"/>
      </w:pPr>
    </w:lvl>
    <w:lvl w:ilvl="4">
      <w:numFmt w:val="bullet"/>
      <w:lvlText w:val="•"/>
      <w:lvlJc w:val="left"/>
      <w:pPr>
        <w:ind w:left="3194" w:hanging="346"/>
      </w:pPr>
    </w:lvl>
    <w:lvl w:ilvl="5">
      <w:numFmt w:val="bullet"/>
      <w:lvlText w:val="•"/>
      <w:lvlJc w:val="left"/>
      <w:pPr>
        <w:ind w:left="3878" w:hanging="346"/>
      </w:pPr>
    </w:lvl>
    <w:lvl w:ilvl="6">
      <w:numFmt w:val="bullet"/>
      <w:lvlText w:val="•"/>
      <w:lvlJc w:val="left"/>
      <w:pPr>
        <w:ind w:left="4561" w:hanging="346"/>
      </w:pPr>
    </w:lvl>
    <w:lvl w:ilvl="7">
      <w:numFmt w:val="bullet"/>
      <w:lvlText w:val="•"/>
      <w:lvlJc w:val="left"/>
      <w:pPr>
        <w:ind w:left="5245" w:hanging="346"/>
      </w:pPr>
    </w:lvl>
    <w:lvl w:ilvl="8">
      <w:numFmt w:val="bullet"/>
      <w:lvlText w:val="•"/>
      <w:lvlJc w:val="left"/>
      <w:pPr>
        <w:ind w:left="5928" w:hanging="346"/>
      </w:pPr>
    </w:lvl>
  </w:abstractNum>
  <w:abstractNum w:abstractNumId="2">
    <w:nsid w:val="11661C3B"/>
    <w:multiLevelType w:val="multilevel"/>
    <w:tmpl w:val="6CF8FDE0"/>
    <w:lvl w:ilvl="0">
      <w:numFmt w:val="bullet"/>
      <w:lvlText w:val="●"/>
      <w:lvlJc w:val="left"/>
      <w:pPr>
        <w:ind w:left="460" w:hanging="360"/>
      </w:pPr>
    </w:lvl>
    <w:lvl w:ilvl="1">
      <w:numFmt w:val="bullet"/>
      <w:lvlText w:val="•"/>
      <w:lvlJc w:val="left"/>
      <w:pPr>
        <w:ind w:left="1143" w:hanging="360"/>
      </w:pPr>
    </w:lvl>
    <w:lvl w:ilvl="2">
      <w:numFmt w:val="bullet"/>
      <w:lvlText w:val="•"/>
      <w:lvlJc w:val="left"/>
      <w:pPr>
        <w:ind w:left="1827" w:hanging="360"/>
      </w:pPr>
    </w:lvl>
    <w:lvl w:ilvl="3">
      <w:numFmt w:val="bullet"/>
      <w:lvlText w:val="•"/>
      <w:lvlJc w:val="left"/>
      <w:pPr>
        <w:ind w:left="2510" w:hanging="360"/>
      </w:pPr>
    </w:lvl>
    <w:lvl w:ilvl="4">
      <w:numFmt w:val="bullet"/>
      <w:lvlText w:val="•"/>
      <w:lvlJc w:val="left"/>
      <w:pPr>
        <w:ind w:left="3194" w:hanging="360"/>
      </w:pPr>
    </w:lvl>
    <w:lvl w:ilvl="5">
      <w:numFmt w:val="bullet"/>
      <w:lvlText w:val="•"/>
      <w:lvlJc w:val="left"/>
      <w:pPr>
        <w:ind w:left="3878" w:hanging="360"/>
      </w:pPr>
    </w:lvl>
    <w:lvl w:ilvl="6">
      <w:numFmt w:val="bullet"/>
      <w:lvlText w:val="•"/>
      <w:lvlJc w:val="left"/>
      <w:pPr>
        <w:ind w:left="4561" w:hanging="360"/>
      </w:pPr>
    </w:lvl>
    <w:lvl w:ilvl="7">
      <w:numFmt w:val="bullet"/>
      <w:lvlText w:val="•"/>
      <w:lvlJc w:val="left"/>
      <w:pPr>
        <w:ind w:left="5245" w:hanging="360"/>
      </w:pPr>
    </w:lvl>
    <w:lvl w:ilvl="8">
      <w:numFmt w:val="bullet"/>
      <w:lvlText w:val="•"/>
      <w:lvlJc w:val="left"/>
      <w:pPr>
        <w:ind w:left="5928" w:hanging="360"/>
      </w:pPr>
    </w:lvl>
  </w:abstractNum>
  <w:abstractNum w:abstractNumId="3">
    <w:nsid w:val="28771EB2"/>
    <w:multiLevelType w:val="multilevel"/>
    <w:tmpl w:val="70DE5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5815D65"/>
    <w:multiLevelType w:val="multilevel"/>
    <w:tmpl w:val="601C7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5F37838"/>
    <w:multiLevelType w:val="multilevel"/>
    <w:tmpl w:val="8B42F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A773218"/>
    <w:multiLevelType w:val="multilevel"/>
    <w:tmpl w:val="093454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44122809"/>
    <w:multiLevelType w:val="multilevel"/>
    <w:tmpl w:val="3CF4AC12"/>
    <w:lvl w:ilvl="0">
      <w:numFmt w:val="bullet"/>
      <w:lvlText w:val="●"/>
      <w:lvlJc w:val="left"/>
      <w:pPr>
        <w:ind w:left="474" w:hanging="360"/>
      </w:pPr>
      <w:rPr>
        <w:rFonts w:ascii="Calibri" w:eastAsia="Calibri" w:hAnsi="Calibri" w:cs="Calibri"/>
        <w:sz w:val="20"/>
        <w:szCs w:val="20"/>
      </w:rPr>
    </w:lvl>
    <w:lvl w:ilvl="1">
      <w:numFmt w:val="bullet"/>
      <w:lvlText w:val="•"/>
      <w:lvlJc w:val="left"/>
      <w:pPr>
        <w:ind w:left="1161" w:hanging="360"/>
      </w:pPr>
    </w:lvl>
    <w:lvl w:ilvl="2">
      <w:numFmt w:val="bullet"/>
      <w:lvlText w:val="•"/>
      <w:lvlJc w:val="left"/>
      <w:pPr>
        <w:ind w:left="1843" w:hanging="360"/>
      </w:pPr>
    </w:lvl>
    <w:lvl w:ilvl="3">
      <w:numFmt w:val="bullet"/>
      <w:lvlText w:val="•"/>
      <w:lvlJc w:val="left"/>
      <w:pPr>
        <w:ind w:left="2524" w:hanging="360"/>
      </w:pPr>
    </w:lvl>
    <w:lvl w:ilvl="4">
      <w:numFmt w:val="bullet"/>
      <w:lvlText w:val="•"/>
      <w:lvlJc w:val="left"/>
      <w:pPr>
        <w:ind w:left="3206" w:hanging="360"/>
      </w:pPr>
    </w:lvl>
    <w:lvl w:ilvl="5">
      <w:numFmt w:val="bullet"/>
      <w:lvlText w:val="•"/>
      <w:lvlJc w:val="left"/>
      <w:pPr>
        <w:ind w:left="3888" w:hanging="360"/>
      </w:pPr>
    </w:lvl>
    <w:lvl w:ilvl="6">
      <w:numFmt w:val="bullet"/>
      <w:lvlText w:val="•"/>
      <w:lvlJc w:val="left"/>
      <w:pPr>
        <w:ind w:left="4569" w:hanging="360"/>
      </w:pPr>
    </w:lvl>
    <w:lvl w:ilvl="7">
      <w:numFmt w:val="bullet"/>
      <w:lvlText w:val="•"/>
      <w:lvlJc w:val="left"/>
      <w:pPr>
        <w:ind w:left="5251" w:hanging="360"/>
      </w:pPr>
    </w:lvl>
    <w:lvl w:ilvl="8">
      <w:numFmt w:val="bullet"/>
      <w:lvlText w:val="•"/>
      <w:lvlJc w:val="left"/>
      <w:pPr>
        <w:ind w:left="5932" w:hanging="360"/>
      </w:pPr>
    </w:lvl>
  </w:abstractNum>
  <w:abstractNum w:abstractNumId="8">
    <w:nsid w:val="46CF4966"/>
    <w:multiLevelType w:val="multilevel"/>
    <w:tmpl w:val="27BA73EA"/>
    <w:lvl w:ilvl="0">
      <w:numFmt w:val="bullet"/>
      <w:lvlText w:val="●"/>
      <w:lvlJc w:val="left"/>
      <w:pPr>
        <w:ind w:left="474" w:hanging="360"/>
      </w:pPr>
      <w:rPr>
        <w:rFonts w:ascii="Arial" w:eastAsia="Arial" w:hAnsi="Arial" w:cs="Arial"/>
        <w:sz w:val="20"/>
        <w:szCs w:val="20"/>
      </w:rPr>
    </w:lvl>
    <w:lvl w:ilvl="1">
      <w:numFmt w:val="bullet"/>
      <w:lvlText w:val="•"/>
      <w:lvlJc w:val="left"/>
      <w:pPr>
        <w:ind w:left="1161" w:hanging="360"/>
      </w:pPr>
    </w:lvl>
    <w:lvl w:ilvl="2">
      <w:numFmt w:val="bullet"/>
      <w:lvlText w:val="•"/>
      <w:lvlJc w:val="left"/>
      <w:pPr>
        <w:ind w:left="1843" w:hanging="360"/>
      </w:pPr>
    </w:lvl>
    <w:lvl w:ilvl="3">
      <w:numFmt w:val="bullet"/>
      <w:lvlText w:val="•"/>
      <w:lvlJc w:val="left"/>
      <w:pPr>
        <w:ind w:left="2524" w:hanging="360"/>
      </w:pPr>
    </w:lvl>
    <w:lvl w:ilvl="4">
      <w:numFmt w:val="bullet"/>
      <w:lvlText w:val="•"/>
      <w:lvlJc w:val="left"/>
      <w:pPr>
        <w:ind w:left="3206" w:hanging="360"/>
      </w:pPr>
    </w:lvl>
    <w:lvl w:ilvl="5">
      <w:numFmt w:val="bullet"/>
      <w:lvlText w:val="•"/>
      <w:lvlJc w:val="left"/>
      <w:pPr>
        <w:ind w:left="3888" w:hanging="360"/>
      </w:pPr>
    </w:lvl>
    <w:lvl w:ilvl="6">
      <w:numFmt w:val="bullet"/>
      <w:lvlText w:val="•"/>
      <w:lvlJc w:val="left"/>
      <w:pPr>
        <w:ind w:left="4569" w:hanging="360"/>
      </w:pPr>
    </w:lvl>
    <w:lvl w:ilvl="7">
      <w:numFmt w:val="bullet"/>
      <w:lvlText w:val="•"/>
      <w:lvlJc w:val="left"/>
      <w:pPr>
        <w:ind w:left="5251" w:hanging="360"/>
      </w:pPr>
    </w:lvl>
    <w:lvl w:ilvl="8">
      <w:numFmt w:val="bullet"/>
      <w:lvlText w:val="•"/>
      <w:lvlJc w:val="left"/>
      <w:pPr>
        <w:ind w:left="5932" w:hanging="360"/>
      </w:pPr>
    </w:lvl>
  </w:abstractNum>
  <w:abstractNum w:abstractNumId="9">
    <w:nsid w:val="4A752FEB"/>
    <w:multiLevelType w:val="multilevel"/>
    <w:tmpl w:val="1B80770C"/>
    <w:lvl w:ilvl="0">
      <w:numFmt w:val="bullet"/>
      <w:lvlText w:val="●"/>
      <w:lvlJc w:val="left"/>
      <w:pPr>
        <w:ind w:left="474" w:hanging="360"/>
      </w:pPr>
      <w:rPr>
        <w:rFonts w:ascii="Arial" w:eastAsia="Arial" w:hAnsi="Arial" w:cs="Arial"/>
        <w:sz w:val="20"/>
        <w:szCs w:val="20"/>
      </w:rPr>
    </w:lvl>
    <w:lvl w:ilvl="1">
      <w:numFmt w:val="bullet"/>
      <w:lvlText w:val="•"/>
      <w:lvlJc w:val="left"/>
      <w:pPr>
        <w:ind w:left="1161" w:hanging="360"/>
      </w:pPr>
    </w:lvl>
    <w:lvl w:ilvl="2">
      <w:numFmt w:val="bullet"/>
      <w:lvlText w:val="•"/>
      <w:lvlJc w:val="left"/>
      <w:pPr>
        <w:ind w:left="1843" w:hanging="360"/>
      </w:pPr>
    </w:lvl>
    <w:lvl w:ilvl="3">
      <w:numFmt w:val="bullet"/>
      <w:lvlText w:val="•"/>
      <w:lvlJc w:val="left"/>
      <w:pPr>
        <w:ind w:left="2524" w:hanging="360"/>
      </w:pPr>
    </w:lvl>
    <w:lvl w:ilvl="4">
      <w:numFmt w:val="bullet"/>
      <w:lvlText w:val="•"/>
      <w:lvlJc w:val="left"/>
      <w:pPr>
        <w:ind w:left="3206" w:hanging="360"/>
      </w:pPr>
    </w:lvl>
    <w:lvl w:ilvl="5">
      <w:numFmt w:val="bullet"/>
      <w:lvlText w:val="•"/>
      <w:lvlJc w:val="left"/>
      <w:pPr>
        <w:ind w:left="3888" w:hanging="360"/>
      </w:pPr>
    </w:lvl>
    <w:lvl w:ilvl="6">
      <w:numFmt w:val="bullet"/>
      <w:lvlText w:val="•"/>
      <w:lvlJc w:val="left"/>
      <w:pPr>
        <w:ind w:left="4569" w:hanging="360"/>
      </w:pPr>
    </w:lvl>
    <w:lvl w:ilvl="7">
      <w:numFmt w:val="bullet"/>
      <w:lvlText w:val="•"/>
      <w:lvlJc w:val="left"/>
      <w:pPr>
        <w:ind w:left="5251" w:hanging="360"/>
      </w:pPr>
    </w:lvl>
    <w:lvl w:ilvl="8">
      <w:numFmt w:val="bullet"/>
      <w:lvlText w:val="•"/>
      <w:lvlJc w:val="left"/>
      <w:pPr>
        <w:ind w:left="5932" w:hanging="360"/>
      </w:pPr>
    </w:lvl>
  </w:abstractNum>
  <w:abstractNum w:abstractNumId="10">
    <w:nsid w:val="5B2B4F62"/>
    <w:multiLevelType w:val="multilevel"/>
    <w:tmpl w:val="68E0A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6CC5C8F"/>
    <w:multiLevelType w:val="multilevel"/>
    <w:tmpl w:val="623E691A"/>
    <w:lvl w:ilvl="0">
      <w:start w:val="1"/>
      <w:numFmt w:val="decimal"/>
      <w:lvlText w:val="%1."/>
      <w:lvlJc w:val="left"/>
      <w:pPr>
        <w:ind w:left="1127" w:hanging="360"/>
      </w:pPr>
      <w:rPr>
        <w:rFonts w:ascii="Calibri" w:eastAsia="Calibri" w:hAnsi="Calibri" w:cs="Calibri"/>
        <w:sz w:val="20"/>
        <w:szCs w:val="20"/>
      </w:rPr>
    </w:lvl>
    <w:lvl w:ilvl="1">
      <w:start w:val="1"/>
      <w:numFmt w:val="decimal"/>
      <w:lvlText w:val="%2."/>
      <w:lvlJc w:val="left"/>
      <w:pPr>
        <w:ind w:left="1329" w:hanging="407"/>
      </w:pPr>
      <w:rPr>
        <w:b/>
      </w:rPr>
    </w:lvl>
    <w:lvl w:ilvl="2">
      <w:numFmt w:val="bullet"/>
      <w:lvlText w:val="•"/>
      <w:lvlJc w:val="left"/>
      <w:pPr>
        <w:ind w:left="2804" w:hanging="408"/>
      </w:pPr>
    </w:lvl>
    <w:lvl w:ilvl="3">
      <w:numFmt w:val="bullet"/>
      <w:lvlText w:val="•"/>
      <w:lvlJc w:val="left"/>
      <w:pPr>
        <w:ind w:left="4288" w:hanging="408"/>
      </w:pPr>
    </w:lvl>
    <w:lvl w:ilvl="4">
      <w:numFmt w:val="bullet"/>
      <w:lvlText w:val="•"/>
      <w:lvlJc w:val="left"/>
      <w:pPr>
        <w:ind w:left="5773" w:hanging="408"/>
      </w:pPr>
    </w:lvl>
    <w:lvl w:ilvl="5">
      <w:numFmt w:val="bullet"/>
      <w:lvlText w:val="•"/>
      <w:lvlJc w:val="left"/>
      <w:pPr>
        <w:ind w:left="7257" w:hanging="407"/>
      </w:pPr>
    </w:lvl>
    <w:lvl w:ilvl="6">
      <w:numFmt w:val="bullet"/>
      <w:lvlText w:val="•"/>
      <w:lvlJc w:val="left"/>
      <w:pPr>
        <w:ind w:left="8742" w:hanging="408"/>
      </w:pPr>
    </w:lvl>
    <w:lvl w:ilvl="7">
      <w:numFmt w:val="bullet"/>
      <w:lvlText w:val="•"/>
      <w:lvlJc w:val="left"/>
      <w:pPr>
        <w:ind w:left="10226" w:hanging="408"/>
      </w:pPr>
    </w:lvl>
    <w:lvl w:ilvl="8">
      <w:numFmt w:val="bullet"/>
      <w:lvlText w:val="•"/>
      <w:lvlJc w:val="left"/>
      <w:pPr>
        <w:ind w:left="11711" w:hanging="408"/>
      </w:pPr>
    </w:lvl>
  </w:abstractNum>
  <w:abstractNum w:abstractNumId="12">
    <w:nsid w:val="6D3F5D7C"/>
    <w:multiLevelType w:val="multilevel"/>
    <w:tmpl w:val="3B1627F6"/>
    <w:lvl w:ilvl="0">
      <w:start w:val="1"/>
      <w:numFmt w:val="decimal"/>
      <w:lvlText w:val="%1."/>
      <w:lvlJc w:val="left"/>
      <w:pPr>
        <w:ind w:left="1127" w:hanging="360"/>
      </w:pPr>
      <w:rPr>
        <w:rFonts w:ascii="Calibri" w:eastAsia="Calibri" w:hAnsi="Calibri" w:cs="Calibri"/>
        <w:sz w:val="20"/>
        <w:szCs w:val="20"/>
      </w:rPr>
    </w:lvl>
    <w:lvl w:ilvl="1">
      <w:start w:val="1"/>
      <w:numFmt w:val="decimal"/>
      <w:lvlText w:val="%2."/>
      <w:lvlJc w:val="left"/>
      <w:pPr>
        <w:ind w:left="1329" w:hanging="407"/>
      </w:pPr>
      <w:rPr>
        <w:b/>
      </w:rPr>
    </w:lvl>
    <w:lvl w:ilvl="2">
      <w:numFmt w:val="bullet"/>
      <w:lvlText w:val="•"/>
      <w:lvlJc w:val="left"/>
      <w:pPr>
        <w:ind w:left="2804" w:hanging="408"/>
      </w:pPr>
    </w:lvl>
    <w:lvl w:ilvl="3">
      <w:numFmt w:val="bullet"/>
      <w:lvlText w:val="•"/>
      <w:lvlJc w:val="left"/>
      <w:pPr>
        <w:ind w:left="4288" w:hanging="408"/>
      </w:pPr>
    </w:lvl>
    <w:lvl w:ilvl="4">
      <w:numFmt w:val="bullet"/>
      <w:lvlText w:val="•"/>
      <w:lvlJc w:val="left"/>
      <w:pPr>
        <w:ind w:left="5773" w:hanging="408"/>
      </w:pPr>
    </w:lvl>
    <w:lvl w:ilvl="5">
      <w:numFmt w:val="bullet"/>
      <w:lvlText w:val="•"/>
      <w:lvlJc w:val="left"/>
      <w:pPr>
        <w:ind w:left="7257" w:hanging="407"/>
      </w:pPr>
    </w:lvl>
    <w:lvl w:ilvl="6">
      <w:numFmt w:val="bullet"/>
      <w:lvlText w:val="•"/>
      <w:lvlJc w:val="left"/>
      <w:pPr>
        <w:ind w:left="8742" w:hanging="408"/>
      </w:pPr>
    </w:lvl>
    <w:lvl w:ilvl="7">
      <w:numFmt w:val="bullet"/>
      <w:lvlText w:val="•"/>
      <w:lvlJc w:val="left"/>
      <w:pPr>
        <w:ind w:left="10226" w:hanging="408"/>
      </w:pPr>
    </w:lvl>
    <w:lvl w:ilvl="8">
      <w:numFmt w:val="bullet"/>
      <w:lvlText w:val="•"/>
      <w:lvlJc w:val="left"/>
      <w:pPr>
        <w:ind w:left="11711" w:hanging="408"/>
      </w:pPr>
    </w:lvl>
  </w:abstractNum>
  <w:abstractNum w:abstractNumId="13">
    <w:nsid w:val="6E8F30B5"/>
    <w:multiLevelType w:val="multilevel"/>
    <w:tmpl w:val="94761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12"/>
  </w:num>
  <w:num w:numId="5">
    <w:abstractNumId w:val="5"/>
  </w:num>
  <w:num w:numId="6">
    <w:abstractNumId w:val="7"/>
  </w:num>
  <w:num w:numId="7">
    <w:abstractNumId w:val="10"/>
  </w:num>
  <w:num w:numId="8">
    <w:abstractNumId w:val="9"/>
  </w:num>
  <w:num w:numId="9">
    <w:abstractNumId w:val="8"/>
  </w:num>
  <w:num w:numId="10">
    <w:abstractNumId w:val="6"/>
  </w:num>
  <w:num w:numId="11">
    <w:abstractNumId w:val="3"/>
  </w:num>
  <w:num w:numId="12">
    <w:abstractNumId w:val="13"/>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D3B6D"/>
    <w:rsid w:val="003F4555"/>
    <w:rsid w:val="004D3B6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9D3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F45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4555"/>
    <w:rPr>
      <w:rFonts w:ascii="Lucida Grande" w:hAnsi="Lucida Grande" w:cs="Lucida Grande"/>
      <w:sz w:val="18"/>
      <w:szCs w:val="18"/>
    </w:rPr>
  </w:style>
  <w:style w:type="paragraph" w:styleId="Footer">
    <w:name w:val="footer"/>
    <w:basedOn w:val="Normal"/>
    <w:link w:val="FooterChar"/>
    <w:uiPriority w:val="99"/>
    <w:unhideWhenUsed/>
    <w:rsid w:val="003F4555"/>
    <w:pPr>
      <w:tabs>
        <w:tab w:val="center" w:pos="4320"/>
        <w:tab w:val="right" w:pos="8640"/>
      </w:tabs>
    </w:pPr>
  </w:style>
  <w:style w:type="character" w:customStyle="1" w:styleId="FooterChar">
    <w:name w:val="Footer Char"/>
    <w:basedOn w:val="DefaultParagraphFont"/>
    <w:link w:val="Footer"/>
    <w:uiPriority w:val="99"/>
    <w:rsid w:val="003F4555"/>
  </w:style>
  <w:style w:type="character" w:styleId="PageNumber">
    <w:name w:val="page number"/>
    <w:basedOn w:val="DefaultParagraphFont"/>
    <w:uiPriority w:val="99"/>
    <w:semiHidden/>
    <w:unhideWhenUsed/>
    <w:rsid w:val="003F45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F45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4555"/>
    <w:rPr>
      <w:rFonts w:ascii="Lucida Grande" w:hAnsi="Lucida Grande" w:cs="Lucida Grande"/>
      <w:sz w:val="18"/>
      <w:szCs w:val="18"/>
    </w:rPr>
  </w:style>
  <w:style w:type="paragraph" w:styleId="Footer">
    <w:name w:val="footer"/>
    <w:basedOn w:val="Normal"/>
    <w:link w:val="FooterChar"/>
    <w:uiPriority w:val="99"/>
    <w:unhideWhenUsed/>
    <w:rsid w:val="003F4555"/>
    <w:pPr>
      <w:tabs>
        <w:tab w:val="center" w:pos="4320"/>
        <w:tab w:val="right" w:pos="8640"/>
      </w:tabs>
    </w:pPr>
  </w:style>
  <w:style w:type="character" w:customStyle="1" w:styleId="FooterChar">
    <w:name w:val="Footer Char"/>
    <w:basedOn w:val="DefaultParagraphFont"/>
    <w:link w:val="Footer"/>
    <w:uiPriority w:val="99"/>
    <w:rsid w:val="003F4555"/>
  </w:style>
  <w:style w:type="character" w:styleId="PageNumber">
    <w:name w:val="page number"/>
    <w:basedOn w:val="DefaultParagraphFont"/>
    <w:uiPriority w:val="99"/>
    <w:semiHidden/>
    <w:unhideWhenUsed/>
    <w:rsid w:val="003F4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3757</Words>
  <Characters>21421</Characters>
  <Application>Microsoft Macintosh Word</Application>
  <DocSecurity>0</DocSecurity>
  <Lines>178</Lines>
  <Paragraphs>50</Paragraphs>
  <ScaleCrop>false</ScaleCrop>
  <Company/>
  <LinksUpToDate>false</LinksUpToDate>
  <CharactersWithSpaces>25128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Saxon Argue</cp:lastModifiedBy>
  <cp:revision>2</cp:revision>
  <dcterms:created xsi:type="dcterms:W3CDTF">2018-11-19T16:01:00Z</dcterms:created>
  <dcterms:modified xsi:type="dcterms:W3CDTF">2018-11-19T16:05:00Z</dcterms:modified>
</cp:coreProperties>
</file>